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013D0" w14:textId="77777777" w:rsidR="00964BB2" w:rsidRPr="004E3AC3" w:rsidRDefault="00964BB2" w:rsidP="00964BB2">
      <w:pPr>
        <w:jc w:val="center"/>
        <w:rPr>
          <w:rFonts w:ascii="Times New Roman" w:eastAsia="Times New Roman" w:hAnsi="Times New Roman" w:cs="Times New Roman"/>
          <w:b/>
          <w:sz w:val="72"/>
          <w:szCs w:val="72"/>
        </w:rPr>
      </w:pPr>
    </w:p>
    <w:p w14:paraId="17F4FDF0" w14:textId="77777777" w:rsidR="00964BB2" w:rsidRPr="004E3AC3" w:rsidRDefault="00964BB2" w:rsidP="00964BB2">
      <w:pPr>
        <w:jc w:val="center"/>
        <w:rPr>
          <w:rFonts w:ascii="Times New Roman" w:eastAsia="Times New Roman" w:hAnsi="Times New Roman" w:cs="Times New Roman"/>
          <w:b/>
          <w:sz w:val="72"/>
          <w:szCs w:val="72"/>
        </w:rPr>
      </w:pPr>
    </w:p>
    <w:p w14:paraId="2CBE9ED4" w14:textId="77777777" w:rsidR="00964BB2" w:rsidRPr="004E3AC3" w:rsidRDefault="00964BB2" w:rsidP="00964BB2">
      <w:pPr>
        <w:jc w:val="center"/>
        <w:rPr>
          <w:rFonts w:ascii="Times New Roman" w:eastAsia="Times New Roman" w:hAnsi="Times New Roman" w:cs="Times New Roman"/>
          <w:b/>
          <w:sz w:val="72"/>
          <w:szCs w:val="72"/>
        </w:rPr>
      </w:pPr>
    </w:p>
    <w:p w14:paraId="00000005" w14:textId="444D407F" w:rsidR="00964BB2" w:rsidRPr="004E3AC3" w:rsidRDefault="007F5FD7" w:rsidP="00964BB2">
      <w:pPr>
        <w:jc w:val="center"/>
        <w:rPr>
          <w:rFonts w:ascii="Times New Roman" w:eastAsia="Times New Roman" w:hAnsi="Times New Roman" w:cs="Times New Roman"/>
          <w:b/>
          <w:sz w:val="72"/>
          <w:szCs w:val="72"/>
        </w:rPr>
      </w:pPr>
      <w:r w:rsidRPr="004E3AC3">
        <w:rPr>
          <w:rFonts w:ascii="Times New Roman" w:eastAsia="Times New Roman" w:hAnsi="Times New Roman" w:cs="Times New Roman"/>
          <w:b/>
          <w:sz w:val="72"/>
          <w:szCs w:val="72"/>
        </w:rPr>
        <w:t>The Law of EU</w:t>
      </w:r>
    </w:p>
    <w:p w14:paraId="735FDC7A" w14:textId="3F9A1E7E" w:rsidR="00964BB2" w:rsidRPr="004E3AC3" w:rsidRDefault="007F5FD7">
      <w:pPr>
        <w:rPr>
          <w:rFonts w:ascii="Times New Roman" w:eastAsia="Times New Roman" w:hAnsi="Times New Roman" w:cs="Times New Roman"/>
          <w:b/>
          <w:sz w:val="24"/>
          <w:szCs w:val="24"/>
        </w:rPr>
      </w:pPr>
      <w:r w:rsidRPr="004E3AC3">
        <w:rPr>
          <w:rFonts w:ascii="Times New Roman" w:eastAsia="Times New Roman" w:hAnsi="Times New Roman" w:cs="Times New Roman"/>
          <w:b/>
          <w:sz w:val="24"/>
          <w:szCs w:val="24"/>
        </w:rPr>
        <w:br w:type="page"/>
      </w:r>
    </w:p>
    <w:sdt>
      <w:sdtPr>
        <w:rPr>
          <w:rFonts w:ascii="Arial" w:eastAsia="Arial" w:hAnsi="Arial" w:cs="Arial"/>
          <w:b w:val="0"/>
          <w:bCs w:val="0"/>
          <w:sz w:val="22"/>
          <w:szCs w:val="22"/>
          <w:lang w:eastAsia="en-US" w:bidi="hi-IN"/>
        </w:rPr>
        <w:id w:val="2088117751"/>
        <w:docPartObj>
          <w:docPartGallery w:val="Table of Contents"/>
          <w:docPartUnique/>
        </w:docPartObj>
      </w:sdtPr>
      <w:sdtEndPr>
        <w:rPr>
          <w:rFonts w:ascii="Times New Roman" w:hAnsi="Times New Roman" w:cs="Times New Roman"/>
          <w:sz w:val="24"/>
          <w:szCs w:val="24"/>
        </w:rPr>
      </w:sdtEndPr>
      <w:sdtContent>
        <w:p w14:paraId="5ED8B1F7" w14:textId="77777777" w:rsidR="00964BB2" w:rsidRPr="004E3AC3" w:rsidRDefault="007F5FD7" w:rsidP="00964BB2">
          <w:pPr>
            <w:pStyle w:val="TOCHeading"/>
            <w:jc w:val="center"/>
            <w:rPr>
              <w:rFonts w:cs="Times New Roman"/>
              <w:sz w:val="24"/>
              <w:szCs w:val="24"/>
            </w:rPr>
          </w:pPr>
          <w:r w:rsidRPr="004E3AC3">
            <w:rPr>
              <w:rFonts w:cs="Times New Roman"/>
              <w:sz w:val="24"/>
              <w:szCs w:val="24"/>
            </w:rPr>
            <w:t>Table of Contents</w:t>
          </w:r>
        </w:p>
        <w:p w14:paraId="3A302866" w14:textId="77777777" w:rsidR="00964BB2" w:rsidRPr="004E3AC3" w:rsidRDefault="00964BB2" w:rsidP="00964BB2">
          <w:pPr>
            <w:spacing w:line="360" w:lineRule="auto"/>
            <w:jc w:val="both"/>
            <w:rPr>
              <w:rFonts w:ascii="Times New Roman" w:hAnsi="Times New Roman" w:cs="Times New Roman"/>
              <w:sz w:val="24"/>
              <w:szCs w:val="24"/>
              <w:lang w:eastAsia="ja-JP"/>
            </w:rPr>
          </w:pPr>
        </w:p>
        <w:p w14:paraId="648A9876" w14:textId="671C6040" w:rsidR="00964BB2" w:rsidRPr="004E3AC3" w:rsidRDefault="007F5FD7" w:rsidP="00964BB2">
          <w:pPr>
            <w:pStyle w:val="TOC1"/>
            <w:tabs>
              <w:tab w:val="right" w:leader="dot" w:pos="9016"/>
            </w:tabs>
            <w:spacing w:line="360" w:lineRule="auto"/>
            <w:jc w:val="both"/>
            <w:rPr>
              <w:rFonts w:ascii="Times New Roman" w:eastAsiaTheme="minorEastAsia" w:hAnsi="Times New Roman" w:cs="Times New Roman"/>
              <w:sz w:val="24"/>
              <w:szCs w:val="24"/>
              <w:lang w:eastAsia="en-IN"/>
            </w:rPr>
          </w:pPr>
          <w:r w:rsidRPr="004E3AC3">
            <w:rPr>
              <w:rFonts w:ascii="Times New Roman" w:hAnsi="Times New Roman" w:cs="Times New Roman"/>
              <w:sz w:val="24"/>
              <w:szCs w:val="24"/>
            </w:rPr>
            <w:fldChar w:fldCharType="begin"/>
          </w:r>
          <w:r w:rsidRPr="004E3AC3">
            <w:rPr>
              <w:rFonts w:ascii="Times New Roman" w:hAnsi="Times New Roman" w:cs="Times New Roman"/>
              <w:sz w:val="24"/>
              <w:szCs w:val="24"/>
            </w:rPr>
            <w:instrText xml:space="preserve"> TOC \o "1-3" \h \z \u </w:instrText>
          </w:r>
          <w:r w:rsidRPr="004E3AC3">
            <w:rPr>
              <w:rFonts w:ascii="Times New Roman" w:hAnsi="Times New Roman" w:cs="Times New Roman"/>
              <w:sz w:val="24"/>
              <w:szCs w:val="24"/>
            </w:rPr>
            <w:fldChar w:fldCharType="separate"/>
          </w:r>
          <w:hyperlink w:anchor="_Toc78811577" w:history="1">
            <w:r w:rsidRPr="004E3AC3">
              <w:rPr>
                <w:rStyle w:val="Hyperlink"/>
                <w:rFonts w:ascii="Times New Roman" w:eastAsia="Times New Roman" w:hAnsi="Times New Roman" w:cs="Times New Roman"/>
                <w:sz w:val="24"/>
                <w:szCs w:val="24"/>
                <w:lang w:eastAsia="en-IN"/>
              </w:rPr>
              <w:t>Part 1</w:t>
            </w:r>
            <w:r w:rsidRPr="004E3AC3">
              <w:rPr>
                <w:rFonts w:ascii="Times New Roman" w:hAnsi="Times New Roman" w:cs="Times New Roman"/>
                <w:webHidden/>
                <w:sz w:val="24"/>
                <w:szCs w:val="24"/>
              </w:rPr>
              <w:tab/>
            </w:r>
            <w:r w:rsidR="00820EEC" w:rsidRPr="004E3AC3">
              <w:rPr>
                <w:rFonts w:ascii="Times New Roman" w:hAnsi="Times New Roman" w:cs="Times New Roman"/>
                <w:webHidden/>
                <w:sz w:val="24"/>
                <w:szCs w:val="24"/>
              </w:rPr>
              <w:t>4</w:t>
            </w:r>
          </w:hyperlink>
        </w:p>
        <w:p w14:paraId="3407C4AE" w14:textId="3BFA877C" w:rsidR="00964BB2" w:rsidRPr="004E3AC3" w:rsidRDefault="007F5FD7" w:rsidP="00964BB2">
          <w:pPr>
            <w:pStyle w:val="TOC1"/>
            <w:tabs>
              <w:tab w:val="right" w:leader="dot" w:pos="9016"/>
            </w:tabs>
            <w:spacing w:line="360" w:lineRule="auto"/>
            <w:jc w:val="both"/>
            <w:rPr>
              <w:rFonts w:ascii="Times New Roman" w:eastAsiaTheme="minorEastAsia" w:hAnsi="Times New Roman" w:cs="Times New Roman"/>
              <w:sz w:val="24"/>
              <w:szCs w:val="24"/>
              <w:lang w:eastAsia="en-IN"/>
            </w:rPr>
          </w:pPr>
          <w:r w:rsidRPr="004E3AC3">
            <w:rPr>
              <w:rFonts w:ascii="Times New Roman" w:hAnsi="Times New Roman" w:cs="Times New Roman"/>
              <w:sz w:val="24"/>
              <w:szCs w:val="24"/>
            </w:rPr>
            <w:t>Part 2</w:t>
          </w:r>
          <w:hyperlink w:anchor="_Toc78811578" w:history="1">
            <w:r w:rsidRPr="004E3AC3">
              <w:rPr>
                <w:rFonts w:ascii="Times New Roman" w:hAnsi="Times New Roman" w:cs="Times New Roman"/>
                <w:webHidden/>
                <w:sz w:val="24"/>
                <w:szCs w:val="24"/>
              </w:rPr>
              <w:tab/>
            </w:r>
            <w:r w:rsidR="00820EEC" w:rsidRPr="004E3AC3">
              <w:rPr>
                <w:rFonts w:ascii="Times New Roman" w:hAnsi="Times New Roman" w:cs="Times New Roman"/>
                <w:webHidden/>
                <w:sz w:val="24"/>
                <w:szCs w:val="24"/>
              </w:rPr>
              <w:t>8</w:t>
            </w:r>
          </w:hyperlink>
        </w:p>
        <w:p w14:paraId="627CB21B" w14:textId="77777777" w:rsidR="00964BB2" w:rsidRPr="004E3AC3" w:rsidRDefault="007F5FD7" w:rsidP="00964BB2">
          <w:pPr>
            <w:spacing w:line="360" w:lineRule="auto"/>
            <w:jc w:val="both"/>
            <w:rPr>
              <w:rFonts w:ascii="Times New Roman" w:hAnsi="Times New Roman" w:cs="Times New Roman"/>
              <w:sz w:val="24"/>
              <w:szCs w:val="24"/>
            </w:rPr>
          </w:pPr>
          <w:r w:rsidRPr="004E3AC3">
            <w:rPr>
              <w:rFonts w:ascii="Times New Roman" w:hAnsi="Times New Roman" w:cs="Times New Roman"/>
              <w:sz w:val="24"/>
              <w:szCs w:val="24"/>
            </w:rPr>
            <w:fldChar w:fldCharType="end"/>
          </w:r>
        </w:p>
      </w:sdtContent>
    </w:sdt>
    <w:p w14:paraId="1690B073" w14:textId="77777777" w:rsidR="00B6588E" w:rsidRPr="004E3AC3" w:rsidRDefault="00B6588E" w:rsidP="00964BB2">
      <w:pPr>
        <w:spacing w:line="360" w:lineRule="auto"/>
        <w:jc w:val="both"/>
        <w:rPr>
          <w:rFonts w:ascii="Times New Roman" w:eastAsia="Times New Roman" w:hAnsi="Times New Roman" w:cs="Times New Roman"/>
          <w:b/>
          <w:sz w:val="24"/>
          <w:szCs w:val="24"/>
        </w:rPr>
      </w:pPr>
    </w:p>
    <w:p w14:paraId="574CA10F" w14:textId="77777777" w:rsidR="00964BB2" w:rsidRPr="004E3AC3" w:rsidRDefault="007F5FD7" w:rsidP="00964BB2">
      <w:pPr>
        <w:spacing w:line="360" w:lineRule="auto"/>
        <w:jc w:val="both"/>
        <w:rPr>
          <w:rFonts w:ascii="Times New Roman" w:eastAsia="Times New Roman" w:hAnsi="Times New Roman" w:cs="Times New Roman"/>
          <w:b/>
          <w:sz w:val="24"/>
          <w:szCs w:val="24"/>
        </w:rPr>
      </w:pPr>
      <w:r w:rsidRPr="004E3AC3">
        <w:rPr>
          <w:rFonts w:ascii="Times New Roman" w:eastAsia="Times New Roman" w:hAnsi="Times New Roman" w:cs="Times New Roman"/>
          <w:b/>
          <w:sz w:val="24"/>
          <w:szCs w:val="24"/>
        </w:rPr>
        <w:br w:type="page"/>
      </w:r>
    </w:p>
    <w:p w14:paraId="00000006" w14:textId="19202B39" w:rsidR="00B6588E" w:rsidRPr="004E3AC3" w:rsidRDefault="007F5FD7" w:rsidP="00964BB2">
      <w:pPr>
        <w:spacing w:line="360" w:lineRule="auto"/>
        <w:jc w:val="center"/>
        <w:rPr>
          <w:rFonts w:ascii="Times New Roman" w:eastAsia="Times New Roman" w:hAnsi="Times New Roman" w:cs="Times New Roman"/>
          <w:b/>
          <w:sz w:val="28"/>
          <w:szCs w:val="28"/>
        </w:rPr>
      </w:pPr>
      <w:r w:rsidRPr="004E3AC3">
        <w:rPr>
          <w:rFonts w:ascii="Times New Roman" w:eastAsia="Times New Roman" w:hAnsi="Times New Roman" w:cs="Times New Roman"/>
          <w:b/>
          <w:sz w:val="28"/>
          <w:szCs w:val="28"/>
        </w:rPr>
        <w:lastRenderedPageBreak/>
        <w:t>Part</w:t>
      </w:r>
      <w:r w:rsidR="00964BB2" w:rsidRPr="004E3AC3">
        <w:rPr>
          <w:rFonts w:ascii="Times New Roman" w:eastAsia="Times New Roman" w:hAnsi="Times New Roman" w:cs="Times New Roman"/>
          <w:b/>
          <w:sz w:val="28"/>
          <w:szCs w:val="28"/>
        </w:rPr>
        <w:t xml:space="preserve"> </w:t>
      </w:r>
      <w:r w:rsidRPr="004E3AC3">
        <w:rPr>
          <w:rFonts w:ascii="Times New Roman" w:eastAsia="Times New Roman" w:hAnsi="Times New Roman" w:cs="Times New Roman"/>
          <w:b/>
          <w:sz w:val="28"/>
          <w:szCs w:val="28"/>
        </w:rPr>
        <w:t>I</w:t>
      </w:r>
    </w:p>
    <w:p w14:paraId="00000007" w14:textId="7C985668" w:rsidR="00B6588E" w:rsidRPr="004E3AC3" w:rsidRDefault="007F5FD7" w:rsidP="00964BB2">
      <w:pPr>
        <w:spacing w:after="240"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b/>
          <w:sz w:val="24"/>
          <w:szCs w:val="24"/>
        </w:rPr>
        <w:t xml:space="preserve">Question </w:t>
      </w:r>
      <w:r w:rsidR="0052328B">
        <w:rPr>
          <w:rFonts w:ascii="Times New Roman" w:eastAsia="Times New Roman" w:hAnsi="Times New Roman" w:cs="Times New Roman"/>
          <w:b/>
          <w:sz w:val="24"/>
          <w:szCs w:val="24"/>
        </w:rPr>
        <w:t xml:space="preserve">1 </w:t>
      </w:r>
      <w:r w:rsidRPr="004E3AC3">
        <w:rPr>
          <w:rFonts w:ascii="Times New Roman" w:eastAsia="Times New Roman" w:hAnsi="Times New Roman" w:cs="Times New Roman"/>
          <w:b/>
          <w:sz w:val="24"/>
          <w:szCs w:val="24"/>
        </w:rPr>
        <w:t xml:space="preserve">- </w:t>
      </w:r>
      <w:r w:rsidR="00180EAA" w:rsidRPr="004E3AC3">
        <w:rPr>
          <w:rFonts w:ascii="Times New Roman" w:eastAsia="Times New Roman" w:hAnsi="Times New Roman" w:cs="Times New Roman"/>
          <w:b/>
          <w:sz w:val="24"/>
          <w:szCs w:val="24"/>
        </w:rPr>
        <w:t>Explain why the Maastricht Treaty (Treaty on European Union, 1992) is so significant in the history of Eu</w:t>
      </w:r>
      <w:r w:rsidRPr="004E3AC3">
        <w:rPr>
          <w:rFonts w:ascii="Times New Roman" w:eastAsia="Times New Roman" w:hAnsi="Times New Roman" w:cs="Times New Roman"/>
          <w:b/>
          <w:sz w:val="24"/>
          <w:szCs w:val="24"/>
        </w:rPr>
        <w:t xml:space="preserve">ropean integration. </w:t>
      </w:r>
    </w:p>
    <w:p w14:paraId="00000008" w14:textId="0E9A3854"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Maastricht is significant in European integration as it is the birthplace of this Union. It was the place where the treaty was signed and named after this place. Before 1991, Maastricht was well known fo</w:t>
      </w:r>
      <w:r w:rsidRPr="004E3AC3">
        <w:rPr>
          <w:rFonts w:ascii="Times New Roman" w:eastAsia="Times New Roman" w:hAnsi="Times New Roman" w:cs="Times New Roman"/>
          <w:sz w:val="24"/>
          <w:szCs w:val="24"/>
        </w:rPr>
        <w:t>r its potteries, but when 12 member states gathered to form a community of their own, the Maastricht Treaty came into existence.</w:t>
      </w:r>
    </w:p>
    <w:p w14:paraId="00000009" w14:textId="77777777"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The leaders of member states had their concerns which were of national importance to them.</w:t>
      </w:r>
    </w:p>
    <w:p w14:paraId="0000000B" w14:textId="4D6F9866"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A union that started in the 1950s wa</w:t>
      </w:r>
      <w:r w:rsidRPr="004E3AC3">
        <w:rPr>
          <w:rFonts w:ascii="Times New Roman" w:eastAsia="Times New Roman" w:hAnsi="Times New Roman" w:cs="Times New Roman"/>
          <w:sz w:val="24"/>
          <w:szCs w:val="24"/>
        </w:rPr>
        <w:t>s halted in the 1970s after Europe was hit by inflation which also brought unemployment. Later in 1980, European leaders began to think about cooperation and started forming alliances for their project.</w:t>
      </w:r>
      <w:r w:rsidRPr="004E3AC3">
        <w:rPr>
          <w:rFonts w:ascii="Times New Roman" w:eastAsia="Times New Roman" w:hAnsi="Times New Roman" w:cs="Times New Roman"/>
          <w:sz w:val="24"/>
          <w:szCs w:val="24"/>
          <w:vertAlign w:val="superscript"/>
        </w:rPr>
        <w:footnoteReference w:id="1"/>
      </w:r>
      <w:r w:rsidRPr="004E3AC3">
        <w:rPr>
          <w:rFonts w:ascii="Times New Roman" w:eastAsia="Times New Roman" w:hAnsi="Times New Roman" w:cs="Times New Roman"/>
          <w:sz w:val="24"/>
          <w:szCs w:val="24"/>
        </w:rPr>
        <w:t>. The development of a single market was a key appro</w:t>
      </w:r>
      <w:r w:rsidRPr="004E3AC3">
        <w:rPr>
          <w:rFonts w:ascii="Times New Roman" w:eastAsia="Times New Roman" w:hAnsi="Times New Roman" w:cs="Times New Roman"/>
          <w:sz w:val="24"/>
          <w:szCs w:val="24"/>
        </w:rPr>
        <w:t>ach for this project which boosted Europe’s economic condition.</w:t>
      </w:r>
    </w:p>
    <w:p w14:paraId="0000000C" w14:textId="4EEC494A"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The treaty of Maastricht is formally known as the “Treaty of European Union”. It is known to be an agreement that was formed by the heads of the European Community. It was formed in 1991 and c</w:t>
      </w:r>
      <w:r w:rsidRPr="004E3AC3">
        <w:rPr>
          <w:rFonts w:ascii="Times New Roman" w:eastAsia="Times New Roman" w:hAnsi="Times New Roman" w:cs="Times New Roman"/>
          <w:sz w:val="24"/>
          <w:szCs w:val="24"/>
        </w:rPr>
        <w:t>ame into force in 1993</w:t>
      </w:r>
      <w:r w:rsidRPr="004E3AC3">
        <w:rPr>
          <w:rFonts w:ascii="Times New Roman" w:eastAsia="Times New Roman" w:hAnsi="Times New Roman" w:cs="Times New Roman"/>
          <w:sz w:val="24"/>
          <w:szCs w:val="24"/>
          <w:vertAlign w:val="superscript"/>
        </w:rPr>
        <w:footnoteReference w:id="2"/>
      </w:r>
      <w:r w:rsidRPr="004E3AC3">
        <w:rPr>
          <w:rFonts w:ascii="Times New Roman" w:eastAsia="Times New Roman" w:hAnsi="Times New Roman" w:cs="Times New Roman"/>
          <w:sz w:val="24"/>
          <w:szCs w:val="24"/>
        </w:rPr>
        <w:t>. This treaty affected the pillars, which were in the form of "Single European Act, Common foreign and Security Policy and Justice and Home Affairs."</w:t>
      </w:r>
      <w:r w:rsidRPr="004E3AC3">
        <w:rPr>
          <w:rFonts w:ascii="Times New Roman" w:eastAsia="Times New Roman" w:hAnsi="Times New Roman" w:cs="Times New Roman"/>
          <w:sz w:val="24"/>
          <w:szCs w:val="24"/>
          <w:vertAlign w:val="superscript"/>
        </w:rPr>
        <w:footnoteReference w:id="3"/>
      </w:r>
      <w:r w:rsidRPr="004E3AC3">
        <w:rPr>
          <w:rFonts w:ascii="Times New Roman" w:eastAsia="Times New Roman" w:hAnsi="Times New Roman" w:cs="Times New Roman"/>
          <w:sz w:val="24"/>
          <w:szCs w:val="24"/>
        </w:rPr>
        <w:t xml:space="preserve">. These pillars thus laid the foundation of the political, social and economic </w:t>
      </w:r>
      <w:r w:rsidR="004E3AC3" w:rsidRPr="004E3AC3">
        <w:rPr>
          <w:rFonts w:ascii="Times New Roman" w:eastAsia="Times New Roman" w:hAnsi="Times New Roman" w:cs="Times New Roman"/>
          <w:sz w:val="24"/>
          <w:szCs w:val="24"/>
        </w:rPr>
        <w:t>well-being</w:t>
      </w:r>
      <w:r w:rsidRPr="004E3AC3">
        <w:rPr>
          <w:rFonts w:ascii="Times New Roman" w:eastAsia="Times New Roman" w:hAnsi="Times New Roman" w:cs="Times New Roman"/>
          <w:sz w:val="24"/>
          <w:szCs w:val="24"/>
        </w:rPr>
        <w:t xml:space="preserve"> of the organisation. Now, this treaty is so significant because it ensured that the structural organisation that is formed from the pillars would be independent in nature but would still be capable of connecting if needed. This connection would be</w:t>
      </w:r>
      <w:r w:rsidRPr="004E3AC3">
        <w:rPr>
          <w:rFonts w:ascii="Times New Roman" w:eastAsia="Times New Roman" w:hAnsi="Times New Roman" w:cs="Times New Roman"/>
          <w:sz w:val="24"/>
          <w:szCs w:val="24"/>
        </w:rPr>
        <w:t xml:space="preserve"> automatic because of the changes that would impact all the pillars simultaneously. For instance, the changes or formation of a single market would impact the visa application in the entire region.</w:t>
      </w:r>
    </w:p>
    <w:p w14:paraId="0000000E" w14:textId="4D366F80"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 xml:space="preserve">This treaty also established that the EU would be the governing body behind the regulations while the member states can only enforce laws in their respective states. This was an important difference between the treaty of Maastricht and other treaties. The </w:t>
      </w:r>
      <w:r w:rsidRPr="004E3AC3">
        <w:rPr>
          <w:rFonts w:ascii="Times New Roman" w:eastAsia="Times New Roman" w:hAnsi="Times New Roman" w:cs="Times New Roman"/>
          <w:sz w:val="24"/>
          <w:szCs w:val="24"/>
        </w:rPr>
        <w:t xml:space="preserve">parliament of </w:t>
      </w:r>
      <w:r w:rsidRPr="004E3AC3">
        <w:rPr>
          <w:rFonts w:ascii="Times New Roman" w:eastAsia="Times New Roman" w:hAnsi="Times New Roman" w:cs="Times New Roman"/>
          <w:sz w:val="24"/>
          <w:szCs w:val="24"/>
        </w:rPr>
        <w:lastRenderedPageBreak/>
        <w:t>the EU gained immense control over the member states. This meant that the legislative power was now vested with the parliament. Now, these pillars have established a strong political community in the EU. Before the formation of this treaty, t</w:t>
      </w:r>
      <w:r w:rsidRPr="004E3AC3">
        <w:rPr>
          <w:rFonts w:ascii="Times New Roman" w:eastAsia="Times New Roman" w:hAnsi="Times New Roman" w:cs="Times New Roman"/>
          <w:sz w:val="24"/>
          <w:szCs w:val="24"/>
        </w:rPr>
        <w:t>he major focus was on economic integration, but this treaty led to the development of social policies as well. Another major point of this treaty was the mutual views regarding the international concerns which were set up within the treaty. This step refle</w:t>
      </w:r>
      <w:r w:rsidRPr="004E3AC3">
        <w:rPr>
          <w:rFonts w:ascii="Times New Roman" w:eastAsia="Times New Roman" w:hAnsi="Times New Roman" w:cs="Times New Roman"/>
          <w:sz w:val="24"/>
          <w:szCs w:val="24"/>
        </w:rPr>
        <w:t>cted the interest of member states in establishing the states as a "Union."</w:t>
      </w:r>
      <w:r w:rsidRPr="004E3AC3">
        <w:rPr>
          <w:rFonts w:ascii="Times New Roman" w:eastAsia="Times New Roman" w:hAnsi="Times New Roman" w:cs="Times New Roman"/>
          <w:sz w:val="24"/>
          <w:szCs w:val="24"/>
          <w:vertAlign w:val="superscript"/>
        </w:rPr>
        <w:footnoteReference w:id="4"/>
      </w:r>
      <w:r w:rsidRPr="004E3AC3">
        <w:rPr>
          <w:rFonts w:ascii="Times New Roman" w:eastAsia="Times New Roman" w:hAnsi="Times New Roman" w:cs="Times New Roman"/>
          <w:sz w:val="24"/>
          <w:szCs w:val="24"/>
        </w:rPr>
        <w:t>.</w:t>
      </w:r>
    </w:p>
    <w:p w14:paraId="0000000F" w14:textId="77777777"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 xml:space="preserve">This treaty was the force behind the establishment of the European Union, and it is significantly important because it established the right of citizenship for every citizen of </w:t>
      </w:r>
      <w:r w:rsidRPr="004E3AC3">
        <w:rPr>
          <w:rFonts w:ascii="Times New Roman" w:eastAsia="Times New Roman" w:hAnsi="Times New Roman" w:cs="Times New Roman"/>
          <w:sz w:val="24"/>
          <w:szCs w:val="24"/>
        </w:rPr>
        <w:t>the state who was a member of the European Union</w:t>
      </w:r>
      <w:r w:rsidRPr="004E3AC3">
        <w:rPr>
          <w:rFonts w:ascii="Times New Roman" w:eastAsia="Times New Roman" w:hAnsi="Times New Roman" w:cs="Times New Roman"/>
          <w:sz w:val="24"/>
          <w:szCs w:val="24"/>
          <w:vertAlign w:val="superscript"/>
        </w:rPr>
        <w:footnoteReference w:id="5"/>
      </w:r>
      <w:r w:rsidRPr="004E3AC3">
        <w:rPr>
          <w:rFonts w:ascii="Times New Roman" w:eastAsia="Times New Roman" w:hAnsi="Times New Roman" w:cs="Times New Roman"/>
          <w:sz w:val="24"/>
          <w:szCs w:val="24"/>
        </w:rPr>
        <w:t>. The benefit of this citizenship was the right to vote in the countries of the European Union irrespective of what their nationality is.</w:t>
      </w:r>
    </w:p>
    <w:p w14:paraId="00000012" w14:textId="5F17B0AC"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Another significant achievement that was brought on by this treaty w</w:t>
      </w:r>
      <w:r w:rsidRPr="004E3AC3">
        <w:rPr>
          <w:rFonts w:ascii="Times New Roman" w:eastAsia="Times New Roman" w:hAnsi="Times New Roman" w:cs="Times New Roman"/>
          <w:sz w:val="24"/>
          <w:szCs w:val="24"/>
        </w:rPr>
        <w:t xml:space="preserve">as the introduction of the “Euro” as a currency for the European Union. This led to the establishment of a system of unified banking throughout the EU. It also introduced such members who would be instrumental in following such policies that are important </w:t>
      </w:r>
      <w:r w:rsidRPr="004E3AC3">
        <w:rPr>
          <w:rFonts w:ascii="Times New Roman" w:eastAsia="Times New Roman" w:hAnsi="Times New Roman" w:cs="Times New Roman"/>
          <w:sz w:val="24"/>
          <w:szCs w:val="24"/>
        </w:rPr>
        <w:t xml:space="preserve">for security purposes. It also suggested cooperation for social and environmental </w:t>
      </w:r>
      <w:r w:rsidR="004E3AC3" w:rsidRPr="004E3AC3">
        <w:rPr>
          <w:rFonts w:ascii="Times New Roman" w:eastAsia="Times New Roman" w:hAnsi="Times New Roman" w:cs="Times New Roman"/>
          <w:sz w:val="24"/>
          <w:szCs w:val="24"/>
        </w:rPr>
        <w:t>well-being</w:t>
      </w:r>
      <w:r w:rsidRPr="004E3AC3">
        <w:rPr>
          <w:rFonts w:ascii="Times New Roman" w:eastAsia="Times New Roman" w:hAnsi="Times New Roman" w:cs="Times New Roman"/>
          <w:sz w:val="24"/>
          <w:szCs w:val="24"/>
        </w:rPr>
        <w:t>.</w:t>
      </w:r>
    </w:p>
    <w:p w14:paraId="00000013" w14:textId="77777777"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This treaty is considered to be so important because it was the force behind restructuring the power of Europe. It improved the political structure of EU states b</w:t>
      </w:r>
      <w:r w:rsidRPr="004E3AC3">
        <w:rPr>
          <w:rFonts w:ascii="Times New Roman" w:eastAsia="Times New Roman" w:hAnsi="Times New Roman" w:cs="Times New Roman"/>
          <w:sz w:val="24"/>
          <w:szCs w:val="24"/>
        </w:rPr>
        <w:t>y the introduction of various reforms. Not only this, but it was a major force behind the economic integration and revival of loss that the European States had to face in 1970. This was done through the introduction of the "Economic and Monetary Union."</w:t>
      </w:r>
      <w:r w:rsidRPr="004E3AC3">
        <w:rPr>
          <w:rFonts w:ascii="Times New Roman" w:eastAsia="Times New Roman" w:hAnsi="Times New Roman" w:cs="Times New Roman"/>
          <w:sz w:val="24"/>
          <w:szCs w:val="24"/>
          <w:vertAlign w:val="superscript"/>
        </w:rPr>
        <w:footnoteReference w:id="6"/>
      </w:r>
      <w:r w:rsidRPr="004E3AC3">
        <w:rPr>
          <w:rFonts w:ascii="Times New Roman" w:eastAsia="Times New Roman" w:hAnsi="Times New Roman" w:cs="Times New Roman"/>
          <w:sz w:val="24"/>
          <w:szCs w:val="24"/>
        </w:rPr>
        <w:t>.</w:t>
      </w:r>
      <w:r w:rsidRPr="004E3AC3">
        <w:rPr>
          <w:rFonts w:ascii="Times New Roman" w:eastAsia="Times New Roman" w:hAnsi="Times New Roman" w:cs="Times New Roman"/>
          <w:sz w:val="24"/>
          <w:szCs w:val="24"/>
        </w:rPr>
        <w:t xml:space="preserve"> This was the most important step for the economic development of the European Union as it was planned to introduce a single market. This meant the removal of barriers and freedom of trade for its citizens.</w:t>
      </w:r>
    </w:p>
    <w:p w14:paraId="00000014" w14:textId="77777777"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 xml:space="preserve">The political integration of Germany into the EU </w:t>
      </w:r>
      <w:r w:rsidRPr="004E3AC3">
        <w:rPr>
          <w:rFonts w:ascii="Times New Roman" w:eastAsia="Times New Roman" w:hAnsi="Times New Roman" w:cs="Times New Roman"/>
          <w:sz w:val="24"/>
          <w:szCs w:val="24"/>
        </w:rPr>
        <w:t>after the cold war was also a task handled by the introduction of this treaty which helped in maintaining peace by removing political tensions. This plan was an important step introduced in the treaty because it would help instability and trade progress am</w:t>
      </w:r>
      <w:r w:rsidRPr="004E3AC3">
        <w:rPr>
          <w:rFonts w:ascii="Times New Roman" w:eastAsia="Times New Roman" w:hAnsi="Times New Roman" w:cs="Times New Roman"/>
          <w:sz w:val="24"/>
          <w:szCs w:val="24"/>
        </w:rPr>
        <w:t>ongst the European Community.</w:t>
      </w:r>
    </w:p>
    <w:p w14:paraId="00000015" w14:textId="77777777"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lastRenderedPageBreak/>
        <w:t>Social integration in the EU was also brought upon by this treaty, where it was clarified that the EU would focus on the social wellbeing of its workers. This treaty increased the participation of member states and the legisla</w:t>
      </w:r>
      <w:r w:rsidRPr="004E3AC3">
        <w:rPr>
          <w:rFonts w:ascii="Times New Roman" w:eastAsia="Times New Roman" w:hAnsi="Times New Roman" w:cs="Times New Roman"/>
          <w:sz w:val="24"/>
          <w:szCs w:val="24"/>
        </w:rPr>
        <w:t>tive body of the EU to promote the best interest of education, employment and other social issues. It can be said that the steps introduced by this treaty increased the innovation of the EU in the social arena as this treaty was able to change people's opi</w:t>
      </w:r>
      <w:r w:rsidRPr="004E3AC3">
        <w:rPr>
          <w:rFonts w:ascii="Times New Roman" w:eastAsia="Times New Roman" w:hAnsi="Times New Roman" w:cs="Times New Roman"/>
          <w:sz w:val="24"/>
          <w:szCs w:val="24"/>
        </w:rPr>
        <w:t>nion regarding the European Community, which was now sought as a composite unit. Although there were numerous agreements formed before this treaty, this treaty gave a legal effect to those agreements in a stronger way.</w:t>
      </w:r>
    </w:p>
    <w:p w14:paraId="00000016" w14:textId="77777777"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Another effect of this treaty was tha</w:t>
      </w:r>
      <w:r w:rsidRPr="004E3AC3">
        <w:rPr>
          <w:rFonts w:ascii="Times New Roman" w:eastAsia="Times New Roman" w:hAnsi="Times New Roman" w:cs="Times New Roman"/>
          <w:sz w:val="24"/>
          <w:szCs w:val="24"/>
        </w:rPr>
        <w:t>t European Community was now to be regarded as a Union which would show their commitment and integrity to remain so. But, one of the major obstacles in the ratification of this treaty was the opinion that the public might have regarding the formation of th</w:t>
      </w:r>
      <w:r w:rsidRPr="004E3AC3">
        <w:rPr>
          <w:rFonts w:ascii="Times New Roman" w:eastAsia="Times New Roman" w:hAnsi="Times New Roman" w:cs="Times New Roman"/>
          <w:sz w:val="24"/>
          <w:szCs w:val="24"/>
        </w:rPr>
        <w:t>is union.</w:t>
      </w:r>
    </w:p>
    <w:p w14:paraId="00000017" w14:textId="4E859C9E"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One of the theories that explained the importance and need of the Maastricht treaty was neo</w:t>
      </w:r>
      <w:r w:rsidR="00820EEC" w:rsidRPr="004E3AC3">
        <w:rPr>
          <w:rFonts w:ascii="Times New Roman" w:eastAsia="Times New Roman" w:hAnsi="Times New Roman" w:cs="Times New Roman"/>
          <w:sz w:val="24"/>
          <w:szCs w:val="24"/>
        </w:rPr>
        <w:t>-</w:t>
      </w:r>
      <w:r w:rsidRPr="004E3AC3">
        <w:rPr>
          <w:rFonts w:ascii="Times New Roman" w:eastAsia="Times New Roman" w:hAnsi="Times New Roman" w:cs="Times New Roman"/>
          <w:sz w:val="24"/>
          <w:szCs w:val="24"/>
        </w:rPr>
        <w:t>functionalism</w:t>
      </w:r>
      <w:r w:rsidRPr="004E3AC3">
        <w:rPr>
          <w:rFonts w:ascii="Times New Roman" w:eastAsia="Times New Roman" w:hAnsi="Times New Roman" w:cs="Times New Roman"/>
          <w:sz w:val="24"/>
          <w:szCs w:val="24"/>
          <w:vertAlign w:val="superscript"/>
        </w:rPr>
        <w:footnoteReference w:id="7"/>
      </w:r>
      <w:r w:rsidRPr="004E3AC3">
        <w:rPr>
          <w:rFonts w:ascii="Times New Roman" w:eastAsia="Times New Roman" w:hAnsi="Times New Roman" w:cs="Times New Roman"/>
          <w:sz w:val="24"/>
          <w:szCs w:val="24"/>
        </w:rPr>
        <w:t>. They were also of the opinion that this treaty was significantly important because of the value it added to the integration amongst the m</w:t>
      </w:r>
      <w:r w:rsidRPr="004E3AC3">
        <w:rPr>
          <w:rFonts w:ascii="Times New Roman" w:eastAsia="Times New Roman" w:hAnsi="Times New Roman" w:cs="Times New Roman"/>
          <w:sz w:val="24"/>
          <w:szCs w:val="24"/>
        </w:rPr>
        <w:t>ember states. It made European Community stronger and economically viable. They were of the view that the gradual growth of the economy in the Union will lead to better cooperation.</w:t>
      </w:r>
    </w:p>
    <w:p w14:paraId="00000019" w14:textId="77777777"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 xml:space="preserve">Although the formation of this treaty required a lot of compromises, such </w:t>
      </w:r>
      <w:r w:rsidRPr="004E3AC3">
        <w:rPr>
          <w:rFonts w:ascii="Times New Roman" w:eastAsia="Times New Roman" w:hAnsi="Times New Roman" w:cs="Times New Roman"/>
          <w:sz w:val="24"/>
          <w:szCs w:val="24"/>
        </w:rPr>
        <w:t>as when Kohl took back his ideas, presenting a stronger political union, another issue was foreseen when there was tension between France and Germany, who were two powerful units of this union but the efforts from both the nations proved that this treaty o</w:t>
      </w:r>
      <w:r w:rsidRPr="004E3AC3">
        <w:rPr>
          <w:rFonts w:ascii="Times New Roman" w:eastAsia="Times New Roman" w:hAnsi="Times New Roman" w:cs="Times New Roman"/>
          <w:sz w:val="24"/>
          <w:szCs w:val="24"/>
        </w:rPr>
        <w:t xml:space="preserve">nly strengthened the position of the European Community in the world. Today, it is an established union that governs various states so that peace can be maintained. The treaties and directives of this Union are important to maintaining social and economic </w:t>
      </w:r>
      <w:r w:rsidRPr="004E3AC3">
        <w:rPr>
          <w:rFonts w:ascii="Times New Roman" w:eastAsia="Times New Roman" w:hAnsi="Times New Roman" w:cs="Times New Roman"/>
          <w:sz w:val="24"/>
          <w:szCs w:val="24"/>
        </w:rPr>
        <w:t>relations between various states.</w:t>
      </w:r>
    </w:p>
    <w:p w14:paraId="0000001A" w14:textId="77777777" w:rsidR="00B6588E" w:rsidRPr="004E3AC3" w:rsidRDefault="00B6588E" w:rsidP="00964BB2">
      <w:pPr>
        <w:spacing w:line="360" w:lineRule="auto"/>
        <w:jc w:val="both"/>
        <w:rPr>
          <w:rFonts w:ascii="Times New Roman" w:eastAsia="Times New Roman" w:hAnsi="Times New Roman" w:cs="Times New Roman"/>
          <w:sz w:val="24"/>
          <w:szCs w:val="24"/>
        </w:rPr>
      </w:pPr>
    </w:p>
    <w:p w14:paraId="0000001B" w14:textId="77777777" w:rsidR="00B6588E" w:rsidRPr="004E3AC3" w:rsidRDefault="00B6588E" w:rsidP="00964BB2">
      <w:pPr>
        <w:spacing w:line="360" w:lineRule="auto"/>
        <w:jc w:val="both"/>
        <w:rPr>
          <w:rFonts w:ascii="Times New Roman" w:eastAsia="Times New Roman" w:hAnsi="Times New Roman" w:cs="Times New Roman"/>
          <w:sz w:val="24"/>
          <w:szCs w:val="24"/>
        </w:rPr>
      </w:pPr>
    </w:p>
    <w:p w14:paraId="0000001C" w14:textId="77777777" w:rsidR="00B6588E" w:rsidRPr="004E3AC3" w:rsidRDefault="00B6588E" w:rsidP="00964BB2">
      <w:pPr>
        <w:spacing w:line="360" w:lineRule="auto"/>
        <w:jc w:val="both"/>
        <w:rPr>
          <w:rFonts w:ascii="Times New Roman" w:eastAsia="Times New Roman" w:hAnsi="Times New Roman" w:cs="Times New Roman"/>
          <w:sz w:val="24"/>
          <w:szCs w:val="24"/>
        </w:rPr>
      </w:pPr>
    </w:p>
    <w:p w14:paraId="0000001D" w14:textId="7B37C85E" w:rsidR="00B6588E" w:rsidRPr="004E3AC3" w:rsidRDefault="007F5FD7" w:rsidP="00964BB2">
      <w:pPr>
        <w:spacing w:after="240" w:line="360" w:lineRule="auto"/>
        <w:jc w:val="both"/>
        <w:rPr>
          <w:rFonts w:ascii="Times New Roman" w:eastAsia="Times New Roman" w:hAnsi="Times New Roman" w:cs="Times New Roman"/>
          <w:b/>
          <w:sz w:val="24"/>
          <w:szCs w:val="24"/>
        </w:rPr>
      </w:pPr>
      <w:r w:rsidRPr="004E3AC3">
        <w:rPr>
          <w:rFonts w:ascii="Times New Roman" w:eastAsia="Times New Roman" w:hAnsi="Times New Roman" w:cs="Times New Roman"/>
          <w:b/>
          <w:sz w:val="24"/>
          <w:szCs w:val="24"/>
        </w:rPr>
        <w:t xml:space="preserve">Question </w:t>
      </w:r>
      <w:r w:rsidR="0052328B">
        <w:rPr>
          <w:rFonts w:ascii="Times New Roman" w:eastAsia="Times New Roman" w:hAnsi="Times New Roman" w:cs="Times New Roman"/>
          <w:b/>
          <w:sz w:val="24"/>
          <w:szCs w:val="24"/>
        </w:rPr>
        <w:t>2</w:t>
      </w:r>
      <w:r w:rsidRPr="004E3AC3">
        <w:rPr>
          <w:rFonts w:ascii="Times New Roman" w:eastAsia="Times New Roman" w:hAnsi="Times New Roman" w:cs="Times New Roman"/>
          <w:b/>
          <w:sz w:val="24"/>
          <w:szCs w:val="24"/>
        </w:rPr>
        <w:t xml:space="preserve">- </w:t>
      </w:r>
      <w:r w:rsidR="00180EAA" w:rsidRPr="004E3AC3">
        <w:rPr>
          <w:rFonts w:ascii="Times New Roman" w:eastAsia="Times New Roman" w:hAnsi="Times New Roman" w:cs="Times New Roman"/>
          <w:b/>
          <w:sz w:val="24"/>
          <w:szCs w:val="24"/>
        </w:rPr>
        <w:t xml:space="preserve">“The Court of Justice of the European Union’s development of fundamental rights protection was, for the most part, a way to avoid Member States questioning the supremacy and authority of EU law”. </w:t>
      </w:r>
    </w:p>
    <w:p w14:paraId="0000001F" w14:textId="2C41FC9E"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The Europea</w:t>
      </w:r>
      <w:r w:rsidRPr="004E3AC3">
        <w:rPr>
          <w:rFonts w:ascii="Times New Roman" w:eastAsia="Times New Roman" w:hAnsi="Times New Roman" w:cs="Times New Roman"/>
          <w:sz w:val="24"/>
          <w:szCs w:val="24"/>
        </w:rPr>
        <w:t xml:space="preserve">n Court of Justice was established with the Treaty of Paris (1952), which formed the EU's counterpart, the Coal </w:t>
      </w:r>
      <w:r w:rsidR="004E3AC3" w:rsidRPr="004E3AC3">
        <w:rPr>
          <w:rFonts w:ascii="Times New Roman" w:eastAsia="Times New Roman" w:hAnsi="Times New Roman" w:cs="Times New Roman"/>
          <w:sz w:val="24"/>
          <w:szCs w:val="24"/>
        </w:rPr>
        <w:t>and</w:t>
      </w:r>
      <w:r w:rsidRPr="004E3AC3">
        <w:rPr>
          <w:rFonts w:ascii="Times New Roman" w:eastAsia="Times New Roman" w:hAnsi="Times New Roman" w:cs="Times New Roman"/>
          <w:sz w:val="24"/>
          <w:szCs w:val="24"/>
        </w:rPr>
        <w:t xml:space="preserve"> Steel Community (ECSC). The official purpose is to ensure that the legislation was followed throughout the recognition and enforcement of th</w:t>
      </w:r>
      <w:r w:rsidRPr="004E3AC3">
        <w:rPr>
          <w:rFonts w:ascii="Times New Roman" w:eastAsia="Times New Roman" w:hAnsi="Times New Roman" w:cs="Times New Roman"/>
          <w:sz w:val="24"/>
          <w:szCs w:val="24"/>
        </w:rPr>
        <w:t xml:space="preserve">is [ECSC] Peace agreement and the regulations established for its analysis. The Court of Justice of the European Union examines EU law to ensure that it is consistently applied across the European Union, and then it resolves legal issues among governments </w:t>
      </w:r>
      <w:r w:rsidRPr="004E3AC3">
        <w:rPr>
          <w:rFonts w:ascii="Times New Roman" w:eastAsia="Times New Roman" w:hAnsi="Times New Roman" w:cs="Times New Roman"/>
          <w:sz w:val="24"/>
          <w:szCs w:val="24"/>
        </w:rPr>
        <w:t>and State institutions. The role of the European Union's Court of Justice was also to ensure that European law is considered and enforced consistently in all EU countries; to ensure that countries</w:t>
      </w:r>
      <w:r w:rsidR="00820EEC" w:rsidRPr="004E3AC3">
        <w:rPr>
          <w:rFonts w:ascii="Times New Roman" w:eastAsia="Times New Roman" w:hAnsi="Times New Roman" w:cs="Times New Roman"/>
          <w:sz w:val="24"/>
          <w:szCs w:val="24"/>
        </w:rPr>
        <w:t>, as well as European Union institutions,</w:t>
      </w:r>
      <w:r w:rsidRPr="004E3AC3">
        <w:rPr>
          <w:rFonts w:ascii="Times New Roman" w:eastAsia="Times New Roman" w:hAnsi="Times New Roman" w:cs="Times New Roman"/>
          <w:sz w:val="24"/>
          <w:szCs w:val="24"/>
        </w:rPr>
        <w:t xml:space="preserve"> follow EU law. Par</w:t>
      </w:r>
      <w:r w:rsidRPr="004E3AC3">
        <w:rPr>
          <w:rFonts w:ascii="Times New Roman" w:eastAsia="Times New Roman" w:hAnsi="Times New Roman" w:cs="Times New Roman"/>
          <w:sz w:val="24"/>
          <w:szCs w:val="24"/>
        </w:rPr>
        <w:t xml:space="preserve">liament passed a resolution in 1979 urging the European Community to join the ECHR. This even envisioned </w:t>
      </w:r>
      <w:r w:rsidR="00820EEC" w:rsidRPr="004E3AC3">
        <w:rPr>
          <w:rFonts w:ascii="Times New Roman" w:eastAsia="Times New Roman" w:hAnsi="Times New Roman" w:cs="Times New Roman"/>
          <w:sz w:val="24"/>
          <w:szCs w:val="24"/>
        </w:rPr>
        <w:t xml:space="preserve">the </w:t>
      </w:r>
      <w:r w:rsidRPr="004E3AC3">
        <w:rPr>
          <w:rFonts w:ascii="Times New Roman" w:eastAsia="Times New Roman" w:hAnsi="Times New Roman" w:cs="Times New Roman"/>
          <w:sz w:val="24"/>
          <w:szCs w:val="24"/>
        </w:rPr>
        <w:t xml:space="preserve">European Union joining the ECHR. </w:t>
      </w:r>
      <w:r w:rsidR="00820EEC" w:rsidRPr="004E3AC3">
        <w:rPr>
          <w:rFonts w:ascii="Times New Roman" w:eastAsia="Times New Roman" w:hAnsi="Times New Roman" w:cs="Times New Roman"/>
          <w:sz w:val="24"/>
          <w:szCs w:val="24"/>
        </w:rPr>
        <w:t>The g</w:t>
      </w:r>
      <w:r w:rsidRPr="004E3AC3">
        <w:rPr>
          <w:rFonts w:ascii="Times New Roman" w:eastAsia="Times New Roman" w:hAnsi="Times New Roman" w:cs="Times New Roman"/>
          <w:sz w:val="24"/>
          <w:szCs w:val="24"/>
        </w:rPr>
        <w:t>overnment declared the Proclamation of Basic Freedoms and Rights to be adopted in an agreement passed April 1</w:t>
      </w:r>
      <w:r w:rsidRPr="004E3AC3">
        <w:rPr>
          <w:rFonts w:ascii="Times New Roman" w:eastAsia="Times New Roman" w:hAnsi="Times New Roman" w:cs="Times New Roman"/>
          <w:sz w:val="24"/>
          <w:szCs w:val="24"/>
        </w:rPr>
        <w:t xml:space="preserve">2, 1989. The CJEU makes decisions in cases that are addressed before that. One of the most prevalent types of cases </w:t>
      </w:r>
      <w:r w:rsidR="00820EEC" w:rsidRPr="004E3AC3">
        <w:rPr>
          <w:rFonts w:ascii="Times New Roman" w:eastAsia="Times New Roman" w:hAnsi="Times New Roman" w:cs="Times New Roman"/>
          <w:sz w:val="24"/>
          <w:szCs w:val="24"/>
        </w:rPr>
        <w:t>is</w:t>
      </w:r>
      <w:r w:rsidRPr="004E3AC3">
        <w:rPr>
          <w:rFonts w:ascii="Times New Roman" w:eastAsia="Times New Roman" w:hAnsi="Times New Roman" w:cs="Times New Roman"/>
          <w:sz w:val="24"/>
          <w:szCs w:val="24"/>
        </w:rPr>
        <w:t xml:space="preserve"> those involving interpretation of </w:t>
      </w:r>
      <w:r w:rsidR="00820EEC" w:rsidRPr="004E3AC3">
        <w:rPr>
          <w:rFonts w:ascii="Times New Roman" w:eastAsia="Times New Roman" w:hAnsi="Times New Roman" w:cs="Times New Roman"/>
          <w:sz w:val="24"/>
          <w:szCs w:val="24"/>
        </w:rPr>
        <w:t xml:space="preserve">the </w:t>
      </w:r>
      <w:r w:rsidRPr="004E3AC3">
        <w:rPr>
          <w:rFonts w:ascii="Times New Roman" w:eastAsia="Times New Roman" w:hAnsi="Times New Roman" w:cs="Times New Roman"/>
          <w:sz w:val="24"/>
          <w:szCs w:val="24"/>
        </w:rPr>
        <w:t>law ("The European Court of Justice and the Policy Process", 2021)</w:t>
      </w:r>
      <w:r w:rsidRPr="004E3AC3">
        <w:rPr>
          <w:rFonts w:ascii="Times New Roman" w:eastAsia="Times New Roman" w:hAnsi="Times New Roman" w:cs="Times New Roman"/>
          <w:sz w:val="24"/>
          <w:szCs w:val="24"/>
          <w:vertAlign w:val="superscript"/>
        </w:rPr>
        <w:footnoteReference w:id="8"/>
      </w:r>
      <w:r w:rsidRPr="004E3AC3">
        <w:rPr>
          <w:rFonts w:ascii="Times New Roman" w:eastAsia="Times New Roman" w:hAnsi="Times New Roman" w:cs="Times New Roman"/>
          <w:sz w:val="24"/>
          <w:szCs w:val="24"/>
        </w:rPr>
        <w:t xml:space="preserve">. Although legal systems in EU </w:t>
      </w:r>
      <w:r w:rsidRPr="004E3AC3">
        <w:rPr>
          <w:rFonts w:ascii="Times New Roman" w:eastAsia="Times New Roman" w:hAnsi="Times New Roman" w:cs="Times New Roman"/>
          <w:sz w:val="24"/>
          <w:szCs w:val="24"/>
        </w:rPr>
        <w:t xml:space="preserve">countries are responsible for ensuring that EU law is correctly applied, authorities in various countries may view things differently. A national court could approach the Court for clarifications if it is unsure about </w:t>
      </w:r>
      <w:r w:rsidR="00820EEC" w:rsidRPr="004E3AC3">
        <w:rPr>
          <w:rFonts w:ascii="Times New Roman" w:eastAsia="Times New Roman" w:hAnsi="Times New Roman" w:cs="Times New Roman"/>
          <w:sz w:val="24"/>
          <w:szCs w:val="24"/>
        </w:rPr>
        <w:t xml:space="preserve">the </w:t>
      </w:r>
      <w:r w:rsidRPr="004E3AC3">
        <w:rPr>
          <w:rFonts w:ascii="Times New Roman" w:eastAsia="Times New Roman" w:hAnsi="Times New Roman" w:cs="Times New Roman"/>
          <w:sz w:val="24"/>
          <w:szCs w:val="24"/>
        </w:rPr>
        <w:t>application or legitimacy of an EU law. This is impossible to ignore also that Courts of Justice's activities have had a significant harmonising influence and have resulted in achievements where the Union's legislative has stumbled at times. In particular,</w:t>
      </w:r>
      <w:r w:rsidRPr="004E3AC3">
        <w:rPr>
          <w:rFonts w:ascii="Times New Roman" w:eastAsia="Times New Roman" w:hAnsi="Times New Roman" w:cs="Times New Roman"/>
          <w:sz w:val="24"/>
          <w:szCs w:val="24"/>
        </w:rPr>
        <w:t xml:space="preserve"> by asserting that such concepts included in the regulations constitute independent conceptions of EU law, even though they are subject to optional application conditions. The Court of Justice of the European Union (CJEU) is widely recognised as a key driv</w:t>
      </w:r>
      <w:r w:rsidRPr="004E3AC3">
        <w:rPr>
          <w:rFonts w:ascii="Times New Roman" w:eastAsia="Times New Roman" w:hAnsi="Times New Roman" w:cs="Times New Roman"/>
          <w:sz w:val="24"/>
          <w:szCs w:val="24"/>
        </w:rPr>
        <w:t xml:space="preserve">er of Political integration. The Court's legal precedent has </w:t>
      </w:r>
      <w:r w:rsidRPr="004E3AC3">
        <w:rPr>
          <w:rFonts w:ascii="Times New Roman" w:eastAsia="Times New Roman" w:hAnsi="Times New Roman" w:cs="Times New Roman"/>
          <w:sz w:val="24"/>
          <w:szCs w:val="24"/>
        </w:rPr>
        <w:lastRenderedPageBreak/>
        <w:t>consistently pushed Economic integration above what the Eu Agreements' justices anticipated or even what the Eu Trade union government choice processes could achieve. Considering that perhaps the</w:t>
      </w:r>
      <w:r w:rsidRPr="004E3AC3">
        <w:rPr>
          <w:rFonts w:ascii="Times New Roman" w:eastAsia="Times New Roman" w:hAnsi="Times New Roman" w:cs="Times New Roman"/>
          <w:sz w:val="24"/>
          <w:szCs w:val="24"/>
        </w:rPr>
        <w:t xml:space="preserve"> CJEU is increasingly treading on politically important subjects like citizen status, development and welfare, employment law, as well as corporate responsibility and that this is occurring at a time when the ensuring product as a whole is losing favour th</w:t>
      </w:r>
      <w:r w:rsidRPr="004E3AC3">
        <w:rPr>
          <w:rFonts w:ascii="Times New Roman" w:eastAsia="Times New Roman" w:hAnsi="Times New Roman" w:cs="Times New Roman"/>
          <w:sz w:val="24"/>
          <w:szCs w:val="24"/>
        </w:rPr>
        <w:t>e Judiciary's continued significance appears farther from self-evident. Its constitution has repeatedly enhanced the global level's capabilities at the expense of member countries.</w:t>
      </w:r>
      <w:r w:rsidR="00820EEC" w:rsidRPr="004E3AC3">
        <w:rPr>
          <w:rFonts w:ascii="Times New Roman" w:eastAsia="Times New Roman" w:hAnsi="Times New Roman" w:cs="Times New Roman"/>
          <w:sz w:val="24"/>
          <w:szCs w:val="24"/>
        </w:rPr>
        <w:t xml:space="preserve"> </w:t>
      </w:r>
      <w:r w:rsidRPr="004E3AC3">
        <w:rPr>
          <w:rFonts w:ascii="Times New Roman" w:eastAsia="Times New Roman" w:hAnsi="Times New Roman" w:cs="Times New Roman"/>
          <w:sz w:val="24"/>
          <w:szCs w:val="24"/>
        </w:rPr>
        <w:t xml:space="preserve">The Prime purpose is to resolve legal issues brought to it by Nations </w:t>
      </w:r>
      <w:r w:rsidR="00820EEC" w:rsidRPr="004E3AC3">
        <w:rPr>
          <w:rFonts w:ascii="Times New Roman" w:eastAsia="Times New Roman" w:hAnsi="Times New Roman" w:cs="Times New Roman"/>
          <w:sz w:val="24"/>
          <w:szCs w:val="24"/>
        </w:rPr>
        <w:t>following</w:t>
      </w:r>
      <w:r w:rsidRPr="004E3AC3">
        <w:rPr>
          <w:rFonts w:ascii="Times New Roman" w:eastAsia="Times New Roman" w:hAnsi="Times New Roman" w:cs="Times New Roman"/>
          <w:sz w:val="24"/>
          <w:szCs w:val="24"/>
        </w:rPr>
        <w:t xml:space="preserve"> global law, as well as to provide independent advice on legal problems addressed to it by authorised United Nations institutions and specialised agencies.   Because the Court of Appeal does have jurisdiction for disputes between organisations and acti</w:t>
      </w:r>
      <w:r w:rsidRPr="004E3AC3">
        <w:rPr>
          <w:rFonts w:ascii="Times New Roman" w:eastAsia="Times New Roman" w:hAnsi="Times New Roman" w:cs="Times New Roman"/>
          <w:sz w:val="24"/>
          <w:szCs w:val="24"/>
        </w:rPr>
        <w:t>ons taken by a State Party, even against European Commission and its Councils, its Court has the first authority over all the other disputes of this nature. The Court's involvement over EU foreign policy stems from two factors: its willingness to structure</w:t>
      </w:r>
      <w:r w:rsidRPr="004E3AC3">
        <w:rPr>
          <w:rFonts w:ascii="Times New Roman" w:eastAsia="Times New Roman" w:hAnsi="Times New Roman" w:cs="Times New Roman"/>
          <w:sz w:val="24"/>
          <w:szCs w:val="24"/>
        </w:rPr>
        <w:t xml:space="preserve"> and describe the Eu foreign expertise as well as the consequent restrictions on Member Nations, and its assertion mostly on lawful order's independence and its position as caretaker to an entry and impact of international treaties into the EU system (Fich</w:t>
      </w:r>
      <w:r w:rsidRPr="004E3AC3">
        <w:rPr>
          <w:rFonts w:ascii="Times New Roman" w:eastAsia="Times New Roman" w:hAnsi="Times New Roman" w:cs="Times New Roman"/>
          <w:sz w:val="24"/>
          <w:szCs w:val="24"/>
        </w:rPr>
        <w:t xml:space="preserve">era &amp; Pollicino, 2021) </w:t>
      </w:r>
      <w:r w:rsidRPr="004E3AC3">
        <w:rPr>
          <w:rFonts w:ascii="Times New Roman" w:eastAsia="Times New Roman" w:hAnsi="Times New Roman" w:cs="Times New Roman"/>
          <w:sz w:val="24"/>
          <w:szCs w:val="24"/>
          <w:vertAlign w:val="superscript"/>
        </w:rPr>
        <w:footnoteReference w:id="9"/>
      </w:r>
    </w:p>
    <w:p w14:paraId="00000020" w14:textId="4F747555" w:rsidR="00B6588E" w:rsidRPr="004E3AC3" w:rsidRDefault="007F5FD7" w:rsidP="00964BB2">
      <w:pPr>
        <w:spacing w:line="360" w:lineRule="auto"/>
        <w:jc w:val="both"/>
        <w:rPr>
          <w:rFonts w:ascii="Times New Roman" w:eastAsia="Times New Roman" w:hAnsi="Times New Roman" w:cs="Times New Roman"/>
          <w:color w:val="0E101A"/>
          <w:sz w:val="24"/>
          <w:szCs w:val="24"/>
        </w:rPr>
      </w:pPr>
      <w:r w:rsidRPr="004E3AC3">
        <w:rPr>
          <w:rFonts w:ascii="Times New Roman" w:eastAsia="Times New Roman" w:hAnsi="Times New Roman" w:cs="Times New Roman"/>
          <w:color w:val="0E101A"/>
          <w:sz w:val="24"/>
          <w:szCs w:val="24"/>
        </w:rPr>
        <w:t>Further, it can be observed that the Court of Justice has always played an important role in protecting the fundamental rights of the citizens. This was done by the court by recognising that the treaties of the EU were mostly sile</w:t>
      </w:r>
      <w:r w:rsidRPr="004E3AC3">
        <w:rPr>
          <w:rFonts w:ascii="Times New Roman" w:eastAsia="Times New Roman" w:hAnsi="Times New Roman" w:cs="Times New Roman"/>
          <w:color w:val="0E101A"/>
          <w:sz w:val="24"/>
          <w:szCs w:val="24"/>
        </w:rPr>
        <w:t>nt in covering the rights of the citizens that are fundamental</w:t>
      </w:r>
      <w:r w:rsidR="00820EEC" w:rsidRPr="004E3AC3">
        <w:rPr>
          <w:rFonts w:ascii="Times New Roman" w:eastAsia="Times New Roman" w:hAnsi="Times New Roman" w:cs="Times New Roman"/>
          <w:color w:val="0E101A"/>
          <w:sz w:val="24"/>
          <w:szCs w:val="24"/>
        </w:rPr>
        <w:t xml:space="preserve"> in nature</w:t>
      </w:r>
      <w:r w:rsidRPr="004E3AC3">
        <w:rPr>
          <w:rFonts w:ascii="Times New Roman" w:eastAsia="Times New Roman" w:hAnsi="Times New Roman" w:cs="Times New Roman"/>
          <w:color w:val="0E101A"/>
          <w:sz w:val="24"/>
          <w:szCs w:val="24"/>
        </w:rPr>
        <w:t>.</w:t>
      </w:r>
    </w:p>
    <w:p w14:paraId="00000021" w14:textId="77777777" w:rsidR="00B6588E" w:rsidRPr="004E3AC3" w:rsidRDefault="007F5FD7" w:rsidP="00964BB2">
      <w:pPr>
        <w:spacing w:line="360" w:lineRule="auto"/>
        <w:jc w:val="both"/>
        <w:rPr>
          <w:rFonts w:ascii="Times New Roman" w:eastAsia="Times New Roman" w:hAnsi="Times New Roman" w:cs="Times New Roman"/>
          <w:color w:val="0E101A"/>
          <w:sz w:val="24"/>
          <w:szCs w:val="24"/>
        </w:rPr>
      </w:pPr>
      <w:r w:rsidRPr="004E3AC3">
        <w:rPr>
          <w:rFonts w:ascii="Times New Roman" w:eastAsia="Times New Roman" w:hAnsi="Times New Roman" w:cs="Times New Roman"/>
          <w:color w:val="0E101A"/>
          <w:sz w:val="24"/>
          <w:szCs w:val="24"/>
        </w:rPr>
        <w:t>The Court of Justice has played an important role by giving precedents and reviewing such acts that were important for protecting fundamental rights. However, the court is protecting</w:t>
      </w:r>
      <w:r w:rsidRPr="004E3AC3">
        <w:rPr>
          <w:rFonts w:ascii="Times New Roman" w:eastAsia="Times New Roman" w:hAnsi="Times New Roman" w:cs="Times New Roman"/>
          <w:color w:val="0E101A"/>
          <w:sz w:val="24"/>
          <w:szCs w:val="24"/>
        </w:rPr>
        <w:t xml:space="preserve"> the citizens in a limited way as it only covers the issues where the acts of institutions are violative of fundamental rights that they should have protected.</w:t>
      </w:r>
    </w:p>
    <w:p w14:paraId="00000023" w14:textId="07038A08" w:rsidR="00B6588E" w:rsidRPr="004E3AC3" w:rsidRDefault="007F5FD7" w:rsidP="00964BB2">
      <w:pPr>
        <w:spacing w:line="360" w:lineRule="auto"/>
        <w:jc w:val="both"/>
        <w:rPr>
          <w:rFonts w:ascii="Times New Roman" w:eastAsia="Times New Roman" w:hAnsi="Times New Roman" w:cs="Times New Roman"/>
          <w:color w:val="0E101A"/>
          <w:sz w:val="24"/>
          <w:szCs w:val="24"/>
        </w:rPr>
      </w:pPr>
      <w:r w:rsidRPr="004E3AC3">
        <w:rPr>
          <w:rFonts w:ascii="Times New Roman" w:eastAsia="Times New Roman" w:hAnsi="Times New Roman" w:cs="Times New Roman"/>
          <w:color w:val="0E101A"/>
          <w:sz w:val="24"/>
          <w:szCs w:val="24"/>
        </w:rPr>
        <w:t>To say that the court developed the fundamental right protection only to establish the supremacy</w:t>
      </w:r>
      <w:r w:rsidRPr="004E3AC3">
        <w:rPr>
          <w:rFonts w:ascii="Times New Roman" w:eastAsia="Times New Roman" w:hAnsi="Times New Roman" w:cs="Times New Roman"/>
          <w:color w:val="0E101A"/>
          <w:sz w:val="24"/>
          <w:szCs w:val="24"/>
        </w:rPr>
        <w:t xml:space="preserve"> of the EU will not be the right statement as its major objective was the protection of its citizens.</w:t>
      </w:r>
      <w:r w:rsidR="00964BB2" w:rsidRPr="004E3AC3">
        <w:rPr>
          <w:rFonts w:ascii="Times New Roman" w:eastAsia="Times New Roman" w:hAnsi="Times New Roman" w:cs="Times New Roman"/>
          <w:color w:val="0E101A"/>
          <w:sz w:val="24"/>
          <w:szCs w:val="24"/>
        </w:rPr>
        <w:t xml:space="preserve"> </w:t>
      </w:r>
      <w:r w:rsidRPr="004E3AC3">
        <w:rPr>
          <w:rFonts w:ascii="Times New Roman" w:eastAsia="Times New Roman" w:hAnsi="Times New Roman" w:cs="Times New Roman"/>
          <w:color w:val="0E101A"/>
          <w:sz w:val="24"/>
          <w:szCs w:val="24"/>
        </w:rPr>
        <w:t xml:space="preserve">When the court was protecting its citizens, it involved different stages; firstly, it involved the formation of the charter that would include provisions </w:t>
      </w:r>
      <w:r w:rsidRPr="004E3AC3">
        <w:rPr>
          <w:rFonts w:ascii="Times New Roman" w:eastAsia="Times New Roman" w:hAnsi="Times New Roman" w:cs="Times New Roman"/>
          <w:color w:val="0E101A"/>
          <w:sz w:val="24"/>
          <w:szCs w:val="24"/>
        </w:rPr>
        <w:t xml:space="preserve">for the community. The </w:t>
      </w:r>
      <w:r w:rsidRPr="004E3AC3">
        <w:rPr>
          <w:rFonts w:ascii="Times New Roman" w:eastAsia="Times New Roman" w:hAnsi="Times New Roman" w:cs="Times New Roman"/>
          <w:color w:val="0E101A"/>
          <w:sz w:val="24"/>
          <w:szCs w:val="24"/>
        </w:rPr>
        <w:lastRenderedPageBreak/>
        <w:t>second stage was the implementation of this “Bill of Rights”. This might be similar to the introduction of these rights in the US.</w:t>
      </w:r>
    </w:p>
    <w:p w14:paraId="00000024" w14:textId="77777777" w:rsidR="00B6588E" w:rsidRPr="004E3AC3" w:rsidRDefault="007F5FD7" w:rsidP="00964BB2">
      <w:pPr>
        <w:spacing w:line="360" w:lineRule="auto"/>
        <w:jc w:val="both"/>
        <w:rPr>
          <w:rFonts w:ascii="Times New Roman" w:eastAsia="Times New Roman" w:hAnsi="Times New Roman" w:cs="Times New Roman"/>
          <w:color w:val="0E101A"/>
          <w:sz w:val="24"/>
          <w:szCs w:val="24"/>
        </w:rPr>
      </w:pPr>
      <w:r w:rsidRPr="004E3AC3">
        <w:rPr>
          <w:rFonts w:ascii="Times New Roman" w:eastAsia="Times New Roman" w:hAnsi="Times New Roman" w:cs="Times New Roman"/>
          <w:color w:val="0E101A"/>
          <w:sz w:val="24"/>
          <w:szCs w:val="24"/>
        </w:rPr>
        <w:t xml:space="preserve">In </w:t>
      </w:r>
      <w:r w:rsidRPr="004E3AC3">
        <w:rPr>
          <w:rFonts w:ascii="Times New Roman" w:eastAsia="Times New Roman" w:hAnsi="Times New Roman" w:cs="Times New Roman"/>
          <w:i/>
          <w:color w:val="0E101A"/>
          <w:sz w:val="24"/>
          <w:szCs w:val="24"/>
        </w:rPr>
        <w:t>Gabrielle Defrenne’s case</w:t>
      </w:r>
      <w:r w:rsidRPr="004E3AC3">
        <w:rPr>
          <w:rFonts w:ascii="Times New Roman" w:eastAsia="Times New Roman" w:hAnsi="Times New Roman" w:cs="Times New Roman"/>
          <w:i/>
          <w:color w:val="0E101A"/>
          <w:sz w:val="24"/>
          <w:szCs w:val="24"/>
          <w:vertAlign w:val="superscript"/>
        </w:rPr>
        <w:footnoteReference w:id="10"/>
      </w:r>
      <w:r w:rsidRPr="004E3AC3">
        <w:rPr>
          <w:rFonts w:ascii="Times New Roman" w:eastAsia="Times New Roman" w:hAnsi="Times New Roman" w:cs="Times New Roman"/>
          <w:i/>
          <w:color w:val="0E101A"/>
          <w:sz w:val="24"/>
          <w:szCs w:val="24"/>
        </w:rPr>
        <w:t xml:space="preserve">, </w:t>
      </w:r>
      <w:r w:rsidRPr="004E3AC3">
        <w:rPr>
          <w:rFonts w:ascii="Times New Roman" w:eastAsia="Times New Roman" w:hAnsi="Times New Roman" w:cs="Times New Roman"/>
          <w:color w:val="0E101A"/>
          <w:sz w:val="24"/>
          <w:szCs w:val="24"/>
        </w:rPr>
        <w:t>the question of the court's authority to judge the competence of membe</w:t>
      </w:r>
      <w:r w:rsidRPr="004E3AC3">
        <w:rPr>
          <w:rFonts w:ascii="Times New Roman" w:eastAsia="Times New Roman" w:hAnsi="Times New Roman" w:cs="Times New Roman"/>
          <w:color w:val="0E101A"/>
          <w:sz w:val="24"/>
          <w:szCs w:val="24"/>
        </w:rPr>
        <w:t>r states arose and the court was viewed to observe that the function of the EU also includes measuring the progress of the community with regards to social benefits. The court also observed that the function of the EU is not limited to the economic benefit</w:t>
      </w:r>
      <w:r w:rsidRPr="004E3AC3">
        <w:rPr>
          <w:rFonts w:ascii="Times New Roman" w:eastAsia="Times New Roman" w:hAnsi="Times New Roman" w:cs="Times New Roman"/>
          <w:color w:val="0E101A"/>
          <w:sz w:val="24"/>
          <w:szCs w:val="24"/>
        </w:rPr>
        <w:t>s, but it should aim to progress the benefits of the people of this community.</w:t>
      </w:r>
    </w:p>
    <w:p w14:paraId="00000025" w14:textId="77777777" w:rsidR="00B6588E" w:rsidRPr="004E3AC3" w:rsidRDefault="007F5FD7" w:rsidP="00964BB2">
      <w:pPr>
        <w:spacing w:line="360" w:lineRule="auto"/>
        <w:jc w:val="both"/>
        <w:rPr>
          <w:rFonts w:ascii="Times New Roman" w:eastAsia="Times New Roman" w:hAnsi="Times New Roman" w:cs="Times New Roman"/>
          <w:color w:val="0E101A"/>
          <w:sz w:val="24"/>
          <w:szCs w:val="24"/>
        </w:rPr>
      </w:pPr>
      <w:r w:rsidRPr="004E3AC3">
        <w:rPr>
          <w:rFonts w:ascii="Times New Roman" w:eastAsia="Times New Roman" w:hAnsi="Times New Roman" w:cs="Times New Roman"/>
          <w:color w:val="0E101A"/>
          <w:sz w:val="24"/>
          <w:szCs w:val="24"/>
        </w:rPr>
        <w:t xml:space="preserve">After this case, the case of </w:t>
      </w:r>
      <w:r w:rsidRPr="004E3AC3">
        <w:rPr>
          <w:rFonts w:ascii="Times New Roman" w:eastAsia="Times New Roman" w:hAnsi="Times New Roman" w:cs="Times New Roman"/>
          <w:i/>
          <w:color w:val="0E101A"/>
          <w:sz w:val="24"/>
          <w:szCs w:val="24"/>
        </w:rPr>
        <w:t>Rutili v. Minister for the Interior.</w:t>
      </w:r>
      <w:r w:rsidRPr="004E3AC3">
        <w:rPr>
          <w:rFonts w:ascii="Times New Roman" w:eastAsia="Times New Roman" w:hAnsi="Times New Roman" w:cs="Times New Roman"/>
          <w:i/>
          <w:color w:val="0E101A"/>
          <w:sz w:val="24"/>
          <w:szCs w:val="24"/>
          <w:vertAlign w:val="superscript"/>
        </w:rPr>
        <w:footnoteReference w:id="11"/>
      </w:r>
      <w:r w:rsidRPr="004E3AC3">
        <w:rPr>
          <w:rFonts w:ascii="Times New Roman" w:eastAsia="Times New Roman" w:hAnsi="Times New Roman" w:cs="Times New Roman"/>
          <w:i/>
          <w:color w:val="0E101A"/>
          <w:sz w:val="24"/>
          <w:szCs w:val="24"/>
        </w:rPr>
        <w:t xml:space="preserve"> </w:t>
      </w:r>
      <w:r w:rsidRPr="004E3AC3">
        <w:rPr>
          <w:rFonts w:ascii="Times New Roman" w:eastAsia="Times New Roman" w:hAnsi="Times New Roman" w:cs="Times New Roman"/>
          <w:color w:val="0E101A"/>
          <w:sz w:val="24"/>
          <w:szCs w:val="24"/>
        </w:rPr>
        <w:t>Came into the light where Mr Rutili</w:t>
      </w:r>
      <w:r w:rsidRPr="004E3AC3">
        <w:rPr>
          <w:rFonts w:ascii="Times New Roman" w:eastAsia="Times New Roman" w:hAnsi="Times New Roman" w:cs="Times New Roman"/>
          <w:color w:val="0E101A"/>
          <w:sz w:val="24"/>
          <w:szCs w:val="24"/>
        </w:rPr>
        <w:t xml:space="preserve"> was denied his right of free movement on the grounds of public policy. In this case, the Court of Justice observed that the member states could not deny a person their right to movement only based on their economic interests. Further, the court interprete</w:t>
      </w:r>
      <w:r w:rsidRPr="004E3AC3">
        <w:rPr>
          <w:rFonts w:ascii="Times New Roman" w:eastAsia="Times New Roman" w:hAnsi="Times New Roman" w:cs="Times New Roman"/>
          <w:color w:val="0E101A"/>
          <w:sz w:val="24"/>
          <w:szCs w:val="24"/>
        </w:rPr>
        <w:t>d the restriction in an appropriate manner which helped in the proper implementation of the right.</w:t>
      </w:r>
    </w:p>
    <w:p w14:paraId="00000026" w14:textId="77777777" w:rsidR="00B6588E" w:rsidRPr="004E3AC3" w:rsidRDefault="007F5FD7" w:rsidP="00964BB2">
      <w:pPr>
        <w:spacing w:line="360" w:lineRule="auto"/>
        <w:jc w:val="both"/>
        <w:rPr>
          <w:rFonts w:ascii="Times New Roman" w:eastAsia="Times New Roman" w:hAnsi="Times New Roman" w:cs="Times New Roman"/>
          <w:color w:val="0E101A"/>
          <w:sz w:val="24"/>
          <w:szCs w:val="24"/>
        </w:rPr>
      </w:pPr>
      <w:r w:rsidRPr="004E3AC3">
        <w:rPr>
          <w:rFonts w:ascii="Times New Roman" w:eastAsia="Times New Roman" w:hAnsi="Times New Roman" w:cs="Times New Roman"/>
          <w:color w:val="0E101A"/>
          <w:sz w:val="24"/>
          <w:szCs w:val="24"/>
        </w:rPr>
        <w:t>This case is an example where the Court of Justice determined the protection of fundamental rights concerning the progress of the community and not to establ</w:t>
      </w:r>
      <w:r w:rsidRPr="004E3AC3">
        <w:rPr>
          <w:rFonts w:ascii="Times New Roman" w:eastAsia="Times New Roman" w:hAnsi="Times New Roman" w:cs="Times New Roman"/>
          <w:color w:val="0E101A"/>
          <w:sz w:val="24"/>
          <w:szCs w:val="24"/>
        </w:rPr>
        <w:t>ish an unwanted authority.</w:t>
      </w:r>
    </w:p>
    <w:p w14:paraId="00000027" w14:textId="5AA24679" w:rsidR="00B6588E" w:rsidRPr="004E3AC3" w:rsidRDefault="007F5FD7" w:rsidP="00964BB2">
      <w:pPr>
        <w:spacing w:line="360" w:lineRule="auto"/>
        <w:jc w:val="both"/>
        <w:rPr>
          <w:rFonts w:ascii="Times New Roman" w:eastAsia="Times New Roman" w:hAnsi="Times New Roman" w:cs="Times New Roman"/>
          <w:color w:val="0E101A"/>
          <w:sz w:val="24"/>
          <w:szCs w:val="24"/>
        </w:rPr>
      </w:pPr>
      <w:r w:rsidRPr="004E3AC3">
        <w:rPr>
          <w:rFonts w:ascii="Times New Roman" w:eastAsia="Times New Roman" w:hAnsi="Times New Roman" w:cs="Times New Roman"/>
          <w:color w:val="0E101A"/>
          <w:sz w:val="24"/>
          <w:szCs w:val="24"/>
        </w:rPr>
        <w:t>The instances of a member state questioning the authority of EU law has no connection with the acts of the Court of Justice as they are only determined to protect the rights of the EU citizens. Further, when the authority of EU l</w:t>
      </w:r>
      <w:r w:rsidRPr="004E3AC3">
        <w:rPr>
          <w:rFonts w:ascii="Times New Roman" w:eastAsia="Times New Roman" w:hAnsi="Times New Roman" w:cs="Times New Roman"/>
          <w:color w:val="0E101A"/>
          <w:sz w:val="24"/>
          <w:szCs w:val="24"/>
        </w:rPr>
        <w:t xml:space="preserve">aw is observed, it is a well-known fact that its power is derived from the parliament that presents its citizens. These citizens are no one else, but the representatives of the EU member </w:t>
      </w:r>
      <w:r w:rsidR="004E3AC3" w:rsidRPr="004E3AC3">
        <w:rPr>
          <w:rFonts w:ascii="Times New Roman" w:eastAsia="Times New Roman" w:hAnsi="Times New Roman" w:cs="Times New Roman"/>
          <w:color w:val="0E101A"/>
          <w:sz w:val="24"/>
          <w:szCs w:val="24"/>
        </w:rPr>
        <w:t>state</w:t>
      </w:r>
      <w:r w:rsidRPr="004E3AC3">
        <w:rPr>
          <w:rFonts w:ascii="Times New Roman" w:eastAsia="Times New Roman" w:hAnsi="Times New Roman" w:cs="Times New Roman"/>
          <w:color w:val="0E101A"/>
          <w:sz w:val="24"/>
          <w:szCs w:val="24"/>
        </w:rPr>
        <w:t xml:space="preserve"> only. Thus, when a point of view regarding the authority of EU</w:t>
      </w:r>
      <w:r w:rsidRPr="004E3AC3">
        <w:rPr>
          <w:rFonts w:ascii="Times New Roman" w:eastAsia="Times New Roman" w:hAnsi="Times New Roman" w:cs="Times New Roman"/>
          <w:color w:val="0E101A"/>
          <w:sz w:val="24"/>
          <w:szCs w:val="24"/>
        </w:rPr>
        <w:t xml:space="preserve"> law is developed, it should be clarified that the Union is an authority because it derived its power from the member states only.</w:t>
      </w:r>
    </w:p>
    <w:p w14:paraId="00000029" w14:textId="77777777" w:rsidR="00B6588E" w:rsidRPr="004E3AC3" w:rsidRDefault="00B6588E" w:rsidP="00964BB2">
      <w:pPr>
        <w:spacing w:line="360" w:lineRule="auto"/>
        <w:jc w:val="both"/>
        <w:rPr>
          <w:rFonts w:ascii="Times New Roman" w:hAnsi="Times New Roman" w:cs="Times New Roman"/>
          <w:sz w:val="24"/>
          <w:szCs w:val="24"/>
        </w:rPr>
      </w:pPr>
    </w:p>
    <w:p w14:paraId="0000002A" w14:textId="77777777" w:rsidR="00B6588E" w:rsidRPr="004E3AC3" w:rsidRDefault="007F5FD7" w:rsidP="00964BB2">
      <w:pPr>
        <w:spacing w:line="360" w:lineRule="auto"/>
        <w:jc w:val="center"/>
        <w:rPr>
          <w:rFonts w:ascii="Times New Roman" w:hAnsi="Times New Roman" w:cs="Times New Roman"/>
          <w:b/>
          <w:sz w:val="28"/>
          <w:szCs w:val="28"/>
        </w:rPr>
      </w:pPr>
      <w:r w:rsidRPr="004E3AC3">
        <w:rPr>
          <w:rFonts w:ascii="Times New Roman" w:hAnsi="Times New Roman" w:cs="Times New Roman"/>
          <w:b/>
          <w:sz w:val="28"/>
          <w:szCs w:val="28"/>
        </w:rPr>
        <w:t>Part II</w:t>
      </w:r>
    </w:p>
    <w:p w14:paraId="0000002D" w14:textId="260EB044" w:rsidR="00B6588E" w:rsidRPr="004E3AC3" w:rsidRDefault="007F5FD7" w:rsidP="00964BB2">
      <w:pPr>
        <w:spacing w:line="360" w:lineRule="auto"/>
        <w:jc w:val="both"/>
        <w:rPr>
          <w:rFonts w:ascii="Times New Roman" w:hAnsi="Times New Roman" w:cs="Times New Roman"/>
          <w:b/>
          <w:sz w:val="24"/>
          <w:szCs w:val="24"/>
        </w:rPr>
      </w:pPr>
      <w:r w:rsidRPr="004E3AC3">
        <w:rPr>
          <w:rFonts w:ascii="Times New Roman" w:hAnsi="Times New Roman" w:cs="Times New Roman"/>
          <w:b/>
          <w:sz w:val="24"/>
          <w:szCs w:val="24"/>
        </w:rPr>
        <w:t xml:space="preserve">Question </w:t>
      </w:r>
      <w:r w:rsidR="0052328B">
        <w:rPr>
          <w:rFonts w:ascii="Times New Roman" w:hAnsi="Times New Roman" w:cs="Times New Roman"/>
          <w:b/>
          <w:sz w:val="24"/>
          <w:szCs w:val="24"/>
        </w:rPr>
        <w:t>8</w:t>
      </w:r>
      <w:r w:rsidRPr="004E3AC3">
        <w:rPr>
          <w:rFonts w:ascii="Times New Roman" w:hAnsi="Times New Roman" w:cs="Times New Roman"/>
          <w:b/>
          <w:sz w:val="24"/>
          <w:szCs w:val="24"/>
        </w:rPr>
        <w:t xml:space="preserve">- </w:t>
      </w:r>
      <w:r w:rsidR="00180EAA" w:rsidRPr="004E3AC3">
        <w:rPr>
          <w:rFonts w:ascii="Times New Roman" w:hAnsi="Times New Roman" w:cs="Times New Roman"/>
          <w:b/>
          <w:sz w:val="24"/>
          <w:szCs w:val="24"/>
        </w:rPr>
        <w:t>“The right of free movement of persons is not absolute”. Discuss in the light of the relevant</w:t>
      </w:r>
      <w:r w:rsidRPr="004E3AC3">
        <w:rPr>
          <w:rFonts w:ascii="Times New Roman" w:hAnsi="Times New Roman" w:cs="Times New Roman"/>
          <w:b/>
          <w:sz w:val="24"/>
          <w:szCs w:val="24"/>
        </w:rPr>
        <w:t xml:space="preserve"> </w:t>
      </w:r>
      <w:r w:rsidR="00180EAA" w:rsidRPr="004E3AC3">
        <w:rPr>
          <w:rFonts w:ascii="Times New Roman" w:hAnsi="Times New Roman" w:cs="Times New Roman"/>
          <w:b/>
          <w:sz w:val="24"/>
          <w:szCs w:val="24"/>
        </w:rPr>
        <w:t>provisions of the EU Treaties, the ‘Citizenship Directive’ (Direction 2004/38) and the case</w:t>
      </w:r>
      <w:r w:rsidR="00820EEC" w:rsidRPr="004E3AC3">
        <w:rPr>
          <w:rFonts w:ascii="Times New Roman" w:hAnsi="Times New Roman" w:cs="Times New Roman"/>
          <w:b/>
          <w:sz w:val="24"/>
          <w:szCs w:val="24"/>
        </w:rPr>
        <w:t>-</w:t>
      </w:r>
      <w:r w:rsidR="00180EAA" w:rsidRPr="004E3AC3">
        <w:rPr>
          <w:rFonts w:ascii="Times New Roman" w:hAnsi="Times New Roman" w:cs="Times New Roman"/>
          <w:b/>
          <w:sz w:val="24"/>
          <w:szCs w:val="24"/>
        </w:rPr>
        <w:t>law of</w:t>
      </w:r>
      <w:r w:rsidRPr="004E3AC3">
        <w:rPr>
          <w:rFonts w:ascii="Times New Roman" w:hAnsi="Times New Roman" w:cs="Times New Roman"/>
          <w:b/>
          <w:sz w:val="24"/>
          <w:szCs w:val="24"/>
        </w:rPr>
        <w:t xml:space="preserve"> </w:t>
      </w:r>
      <w:r w:rsidR="00180EAA" w:rsidRPr="004E3AC3">
        <w:rPr>
          <w:rFonts w:ascii="Times New Roman" w:hAnsi="Times New Roman" w:cs="Times New Roman"/>
          <w:b/>
          <w:sz w:val="24"/>
          <w:szCs w:val="24"/>
        </w:rPr>
        <w:t xml:space="preserve">the Court of Justice of </w:t>
      </w:r>
      <w:r w:rsidRPr="004E3AC3">
        <w:rPr>
          <w:rFonts w:ascii="Times New Roman" w:hAnsi="Times New Roman" w:cs="Times New Roman"/>
          <w:b/>
          <w:sz w:val="24"/>
          <w:szCs w:val="24"/>
        </w:rPr>
        <w:t xml:space="preserve">the European Union. </w:t>
      </w:r>
    </w:p>
    <w:p w14:paraId="00000030" w14:textId="575B9E3E" w:rsidR="00B6588E" w:rsidRPr="004E3AC3" w:rsidRDefault="007F5FD7" w:rsidP="00964BB2">
      <w:pPr>
        <w:spacing w:before="240"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 xml:space="preserve">The treaty of 1957 established the community for </w:t>
      </w:r>
      <w:r w:rsidR="00820EEC" w:rsidRPr="004E3AC3">
        <w:rPr>
          <w:rFonts w:ascii="Times New Roman" w:eastAsia="Times New Roman" w:hAnsi="Times New Roman" w:cs="Times New Roman"/>
          <w:sz w:val="24"/>
          <w:szCs w:val="24"/>
        </w:rPr>
        <w:t xml:space="preserve">the </w:t>
      </w:r>
      <w:r w:rsidRPr="004E3AC3">
        <w:rPr>
          <w:rFonts w:ascii="Times New Roman" w:eastAsia="Times New Roman" w:hAnsi="Times New Roman" w:cs="Times New Roman"/>
          <w:sz w:val="24"/>
          <w:szCs w:val="24"/>
        </w:rPr>
        <w:t xml:space="preserve">economic benefits of Europe and was amongst the first to cover the </w:t>
      </w:r>
      <w:r w:rsidRPr="004E3AC3">
        <w:rPr>
          <w:rFonts w:ascii="Times New Roman" w:eastAsia="Times New Roman" w:hAnsi="Times New Roman" w:cs="Times New Roman"/>
          <w:sz w:val="24"/>
          <w:szCs w:val="24"/>
        </w:rPr>
        <w:t>free movement</w:t>
      </w:r>
      <w:r w:rsidR="00964BB2" w:rsidRPr="004E3AC3">
        <w:rPr>
          <w:rFonts w:ascii="Times New Roman" w:eastAsia="Times New Roman" w:hAnsi="Times New Roman" w:cs="Times New Roman"/>
          <w:sz w:val="24"/>
          <w:szCs w:val="24"/>
        </w:rPr>
        <w:t xml:space="preserve"> and “freedom of establishment”</w:t>
      </w:r>
      <w:r w:rsidRPr="004E3AC3">
        <w:rPr>
          <w:rFonts w:ascii="Times New Roman" w:eastAsia="Times New Roman" w:hAnsi="Times New Roman" w:cs="Times New Roman"/>
          <w:sz w:val="24"/>
          <w:szCs w:val="24"/>
        </w:rPr>
        <w:t>.</w:t>
      </w:r>
      <w:r w:rsidR="00964BB2" w:rsidRPr="004E3AC3">
        <w:rPr>
          <w:rFonts w:ascii="Times New Roman" w:eastAsia="Times New Roman" w:hAnsi="Times New Roman" w:cs="Times New Roman"/>
          <w:sz w:val="24"/>
          <w:szCs w:val="24"/>
        </w:rPr>
        <w:t xml:space="preserve"> </w:t>
      </w:r>
      <w:r w:rsidRPr="004E3AC3">
        <w:rPr>
          <w:rFonts w:ascii="Times New Roman" w:eastAsia="Times New Roman" w:hAnsi="Times New Roman" w:cs="Times New Roman"/>
          <w:sz w:val="24"/>
          <w:szCs w:val="24"/>
        </w:rPr>
        <w:t xml:space="preserve">“Freedom to </w:t>
      </w:r>
      <w:r w:rsidRPr="004E3AC3">
        <w:rPr>
          <w:rFonts w:ascii="Times New Roman" w:eastAsia="Times New Roman" w:hAnsi="Times New Roman" w:cs="Times New Roman"/>
          <w:sz w:val="24"/>
          <w:szCs w:val="24"/>
        </w:rPr>
        <w:lastRenderedPageBreak/>
        <w:t xml:space="preserve">move” was introduced as an important concept in the </w:t>
      </w:r>
      <w:r w:rsidRPr="004E3AC3">
        <w:rPr>
          <w:rFonts w:ascii="Times New Roman" w:eastAsia="Times New Roman" w:hAnsi="Times New Roman" w:cs="Times New Roman"/>
          <w:i/>
          <w:sz w:val="24"/>
          <w:szCs w:val="24"/>
        </w:rPr>
        <w:t>Maastricht treaty.</w:t>
      </w:r>
      <w:r w:rsidRPr="004E3AC3">
        <w:rPr>
          <w:rFonts w:ascii="Times New Roman" w:eastAsia="Times New Roman" w:hAnsi="Times New Roman" w:cs="Times New Roman"/>
          <w:i/>
          <w:sz w:val="24"/>
          <w:szCs w:val="24"/>
          <w:vertAlign w:val="superscript"/>
        </w:rPr>
        <w:footnoteReference w:id="12"/>
      </w:r>
      <w:r w:rsidRPr="004E3AC3">
        <w:rPr>
          <w:rFonts w:ascii="Times New Roman" w:eastAsia="Times New Roman" w:hAnsi="Times New Roman" w:cs="Times New Roman"/>
          <w:sz w:val="24"/>
          <w:szCs w:val="24"/>
        </w:rPr>
        <w:t xml:space="preserve"> Established in 1992. This became an important part of citizenship. However, after the formation of the Schengen agreement of </w:t>
      </w:r>
      <w:r w:rsidRPr="004E3AC3">
        <w:rPr>
          <w:rFonts w:ascii="Times New Roman" w:eastAsia="Times New Roman" w:hAnsi="Times New Roman" w:cs="Times New Roman"/>
          <w:sz w:val="24"/>
          <w:szCs w:val="24"/>
        </w:rPr>
        <w:t>Sche</w:t>
      </w:r>
      <w:r w:rsidR="00820EEC" w:rsidRPr="004E3AC3">
        <w:rPr>
          <w:rFonts w:ascii="Times New Roman" w:eastAsia="Times New Roman" w:hAnsi="Times New Roman" w:cs="Times New Roman"/>
          <w:sz w:val="24"/>
          <w:szCs w:val="24"/>
        </w:rPr>
        <w:t>n</w:t>
      </w:r>
      <w:r w:rsidRPr="004E3AC3">
        <w:rPr>
          <w:rFonts w:ascii="Times New Roman" w:eastAsia="Times New Roman" w:hAnsi="Times New Roman" w:cs="Times New Roman"/>
          <w:sz w:val="24"/>
          <w:szCs w:val="24"/>
        </w:rPr>
        <w:t>gen, the next step was the introduction of “</w:t>
      </w:r>
      <w:r w:rsidRPr="004E3AC3">
        <w:rPr>
          <w:rFonts w:ascii="Times New Roman" w:eastAsia="Times New Roman" w:hAnsi="Times New Roman" w:cs="Times New Roman"/>
          <w:i/>
          <w:sz w:val="24"/>
          <w:szCs w:val="24"/>
        </w:rPr>
        <w:t>Citizenship Directive 2004/38/EC</w:t>
      </w:r>
      <w:r w:rsidRPr="004E3AC3">
        <w:rPr>
          <w:rFonts w:ascii="Times New Roman" w:eastAsia="Times New Roman" w:hAnsi="Times New Roman" w:cs="Times New Roman"/>
          <w:sz w:val="24"/>
          <w:szCs w:val="24"/>
        </w:rPr>
        <w:t xml:space="preserve">", which specified that citizens of </w:t>
      </w:r>
      <w:r w:rsidR="00820EEC" w:rsidRPr="004E3AC3">
        <w:rPr>
          <w:rFonts w:ascii="Times New Roman" w:eastAsia="Times New Roman" w:hAnsi="Times New Roman" w:cs="Times New Roman"/>
          <w:sz w:val="24"/>
          <w:szCs w:val="24"/>
        </w:rPr>
        <w:t xml:space="preserve">the </w:t>
      </w:r>
      <w:r w:rsidRPr="004E3AC3">
        <w:rPr>
          <w:rFonts w:ascii="Times New Roman" w:eastAsia="Times New Roman" w:hAnsi="Times New Roman" w:cs="Times New Roman"/>
          <w:sz w:val="24"/>
          <w:szCs w:val="24"/>
        </w:rPr>
        <w:t>European Union and the family members of such people would have the right to move freely in the jurisdiction of European Union.</w:t>
      </w:r>
      <w:r w:rsidRPr="004E3AC3">
        <w:rPr>
          <w:rFonts w:ascii="Times New Roman" w:eastAsia="Times New Roman" w:hAnsi="Times New Roman" w:cs="Times New Roman"/>
          <w:sz w:val="24"/>
          <w:szCs w:val="24"/>
          <w:vertAlign w:val="superscript"/>
        </w:rPr>
        <w:footnoteReference w:id="13"/>
      </w:r>
      <w:r w:rsidRPr="004E3AC3">
        <w:rPr>
          <w:rFonts w:ascii="Times New Roman" w:eastAsia="Times New Roman" w:hAnsi="Times New Roman" w:cs="Times New Roman"/>
          <w:sz w:val="24"/>
          <w:szCs w:val="24"/>
        </w:rPr>
        <w:t>. Howe</w:t>
      </w:r>
      <w:r w:rsidRPr="004E3AC3">
        <w:rPr>
          <w:rFonts w:ascii="Times New Roman" w:eastAsia="Times New Roman" w:hAnsi="Times New Roman" w:cs="Times New Roman"/>
          <w:sz w:val="24"/>
          <w:szCs w:val="24"/>
        </w:rPr>
        <w:t>ver, even after this directive</w:t>
      </w:r>
      <w:r w:rsidR="00820EEC" w:rsidRPr="004E3AC3">
        <w:rPr>
          <w:rFonts w:ascii="Times New Roman" w:eastAsia="Times New Roman" w:hAnsi="Times New Roman" w:cs="Times New Roman"/>
          <w:sz w:val="24"/>
          <w:szCs w:val="24"/>
        </w:rPr>
        <w:t>,</w:t>
      </w:r>
      <w:r w:rsidRPr="004E3AC3">
        <w:rPr>
          <w:rFonts w:ascii="Times New Roman" w:eastAsia="Times New Roman" w:hAnsi="Times New Roman" w:cs="Times New Roman"/>
          <w:sz w:val="24"/>
          <w:szCs w:val="24"/>
        </w:rPr>
        <w:t xml:space="preserve"> </w:t>
      </w:r>
      <w:r w:rsidR="00820EEC" w:rsidRPr="004E3AC3">
        <w:rPr>
          <w:rFonts w:ascii="Times New Roman" w:eastAsia="Times New Roman" w:hAnsi="Times New Roman" w:cs="Times New Roman"/>
          <w:sz w:val="24"/>
          <w:szCs w:val="24"/>
        </w:rPr>
        <w:t>certain issues</w:t>
      </w:r>
      <w:r w:rsidRPr="004E3AC3">
        <w:rPr>
          <w:rFonts w:ascii="Times New Roman" w:eastAsia="Times New Roman" w:hAnsi="Times New Roman" w:cs="Times New Roman"/>
          <w:sz w:val="24"/>
          <w:szCs w:val="24"/>
        </w:rPr>
        <w:t xml:space="preserve"> cover the free movement of people. But, after the introduction of </w:t>
      </w:r>
      <w:r w:rsidR="00820EEC" w:rsidRPr="004E3AC3">
        <w:rPr>
          <w:rFonts w:ascii="Times New Roman" w:eastAsia="Times New Roman" w:hAnsi="Times New Roman" w:cs="Times New Roman"/>
          <w:sz w:val="24"/>
          <w:szCs w:val="24"/>
        </w:rPr>
        <w:t xml:space="preserve">the </w:t>
      </w:r>
      <w:r w:rsidRPr="004E3AC3">
        <w:rPr>
          <w:rFonts w:ascii="Times New Roman" w:eastAsia="Times New Roman" w:hAnsi="Times New Roman" w:cs="Times New Roman"/>
          <w:i/>
          <w:sz w:val="24"/>
          <w:szCs w:val="24"/>
        </w:rPr>
        <w:t>Lisbon Treaty</w:t>
      </w:r>
      <w:r w:rsidRPr="004E3AC3">
        <w:rPr>
          <w:rFonts w:ascii="Times New Roman" w:eastAsia="Times New Roman" w:hAnsi="Times New Roman" w:cs="Times New Roman"/>
          <w:i/>
          <w:sz w:val="24"/>
          <w:szCs w:val="24"/>
          <w:vertAlign w:val="superscript"/>
        </w:rPr>
        <w:footnoteReference w:id="14"/>
      </w:r>
      <w:r w:rsidRPr="004E3AC3">
        <w:rPr>
          <w:rFonts w:ascii="Times New Roman" w:eastAsia="Times New Roman" w:hAnsi="Times New Roman" w:cs="Times New Roman"/>
          <w:sz w:val="24"/>
          <w:szCs w:val="24"/>
        </w:rPr>
        <w:t xml:space="preserve"> the right to free movement was confirmed after its inclusion in “General provisions on the Area of Freedom, Security and Ju</w:t>
      </w:r>
      <w:r w:rsidRPr="004E3AC3">
        <w:rPr>
          <w:rFonts w:ascii="Times New Roman" w:eastAsia="Times New Roman" w:hAnsi="Times New Roman" w:cs="Times New Roman"/>
          <w:sz w:val="24"/>
          <w:szCs w:val="24"/>
        </w:rPr>
        <w:t>stice”.</w:t>
      </w:r>
    </w:p>
    <w:p w14:paraId="00000031" w14:textId="77777777" w:rsidR="00B6588E" w:rsidRPr="004E3AC3" w:rsidRDefault="00B6588E" w:rsidP="00964BB2">
      <w:pPr>
        <w:spacing w:line="360" w:lineRule="auto"/>
        <w:jc w:val="both"/>
        <w:rPr>
          <w:rFonts w:ascii="Times New Roman" w:eastAsia="Times New Roman" w:hAnsi="Times New Roman" w:cs="Times New Roman"/>
          <w:sz w:val="24"/>
          <w:szCs w:val="24"/>
        </w:rPr>
      </w:pPr>
    </w:p>
    <w:p w14:paraId="00000032" w14:textId="70D299F2" w:rsidR="00B6588E" w:rsidRPr="004E3AC3" w:rsidRDefault="007F5FD7" w:rsidP="00964BB2">
      <w:p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 xml:space="preserve">The legal basis of this right is found under Article 3(2) of </w:t>
      </w:r>
      <w:r w:rsidR="00820EEC" w:rsidRPr="004E3AC3">
        <w:rPr>
          <w:rFonts w:ascii="Times New Roman" w:eastAsia="Times New Roman" w:hAnsi="Times New Roman" w:cs="Times New Roman"/>
          <w:sz w:val="24"/>
          <w:szCs w:val="24"/>
        </w:rPr>
        <w:t xml:space="preserve">the </w:t>
      </w:r>
      <w:r w:rsidRPr="004E3AC3">
        <w:rPr>
          <w:rFonts w:ascii="Times New Roman" w:eastAsia="Times New Roman" w:hAnsi="Times New Roman" w:cs="Times New Roman"/>
          <w:sz w:val="24"/>
          <w:szCs w:val="24"/>
        </w:rPr>
        <w:t>European Union Treaty</w:t>
      </w:r>
      <w:r w:rsidRPr="004E3AC3">
        <w:rPr>
          <w:rFonts w:ascii="Times New Roman" w:eastAsia="Times New Roman" w:hAnsi="Times New Roman" w:cs="Times New Roman"/>
          <w:sz w:val="24"/>
          <w:szCs w:val="24"/>
          <w:vertAlign w:val="superscript"/>
        </w:rPr>
        <w:footnoteReference w:id="15"/>
      </w:r>
      <w:r w:rsidRPr="004E3AC3">
        <w:rPr>
          <w:rFonts w:ascii="Times New Roman" w:eastAsia="Times New Roman" w:hAnsi="Times New Roman" w:cs="Times New Roman"/>
          <w:sz w:val="24"/>
          <w:szCs w:val="24"/>
        </w:rPr>
        <w:t xml:space="preserve"> and Article 21 along with Title IV and V of the Functioning Treaty of the EU</w:t>
      </w:r>
      <w:r w:rsidRPr="004E3AC3">
        <w:rPr>
          <w:rFonts w:ascii="Times New Roman" w:eastAsia="Times New Roman" w:hAnsi="Times New Roman" w:cs="Times New Roman"/>
          <w:sz w:val="24"/>
          <w:szCs w:val="24"/>
          <w:vertAlign w:val="superscript"/>
        </w:rPr>
        <w:footnoteReference w:id="16"/>
      </w:r>
      <w:r w:rsidRPr="004E3AC3">
        <w:rPr>
          <w:rFonts w:ascii="Times New Roman" w:eastAsia="Times New Roman" w:hAnsi="Times New Roman" w:cs="Times New Roman"/>
          <w:sz w:val="24"/>
          <w:szCs w:val="24"/>
        </w:rPr>
        <w:t xml:space="preserve"> . Further, Article 45</w:t>
      </w:r>
      <w:r w:rsidRPr="004E3AC3">
        <w:rPr>
          <w:rFonts w:ascii="Times New Roman" w:eastAsia="Times New Roman" w:hAnsi="Times New Roman" w:cs="Times New Roman"/>
          <w:sz w:val="24"/>
          <w:szCs w:val="24"/>
          <w:vertAlign w:val="superscript"/>
        </w:rPr>
        <w:footnoteReference w:id="17"/>
      </w:r>
      <w:r w:rsidRPr="004E3AC3">
        <w:rPr>
          <w:rFonts w:ascii="Times New Roman" w:eastAsia="Times New Roman" w:hAnsi="Times New Roman" w:cs="Times New Roman"/>
          <w:sz w:val="24"/>
          <w:szCs w:val="24"/>
        </w:rPr>
        <w:t xml:space="preserve"> of the Charter of the EU that relates to Fundamental Ri</w:t>
      </w:r>
      <w:r w:rsidRPr="004E3AC3">
        <w:rPr>
          <w:rFonts w:ascii="Times New Roman" w:eastAsia="Times New Roman" w:hAnsi="Times New Roman" w:cs="Times New Roman"/>
          <w:sz w:val="24"/>
          <w:szCs w:val="24"/>
        </w:rPr>
        <w:t>ghts is an important provision in regards to this question.</w:t>
      </w:r>
    </w:p>
    <w:p w14:paraId="00000033" w14:textId="77777777" w:rsidR="00B6588E" w:rsidRPr="004E3AC3" w:rsidRDefault="00B6588E" w:rsidP="00964BB2">
      <w:pPr>
        <w:spacing w:line="360" w:lineRule="auto"/>
        <w:jc w:val="both"/>
        <w:rPr>
          <w:rFonts w:ascii="Times New Roman" w:eastAsia="Times New Roman" w:hAnsi="Times New Roman" w:cs="Times New Roman"/>
          <w:b/>
          <w:i/>
          <w:sz w:val="24"/>
          <w:szCs w:val="24"/>
        </w:rPr>
      </w:pPr>
    </w:p>
    <w:p w14:paraId="00000034" w14:textId="77777777" w:rsidR="00B6588E" w:rsidRPr="004E3AC3" w:rsidRDefault="007F5FD7" w:rsidP="00964BB2">
      <w:pPr>
        <w:spacing w:line="360" w:lineRule="auto"/>
        <w:jc w:val="both"/>
        <w:rPr>
          <w:rFonts w:ascii="Times New Roman" w:eastAsia="Times New Roman" w:hAnsi="Times New Roman" w:cs="Times New Roman"/>
          <w:b/>
          <w:i/>
          <w:sz w:val="24"/>
          <w:szCs w:val="24"/>
        </w:rPr>
      </w:pPr>
      <w:r w:rsidRPr="004E3AC3">
        <w:rPr>
          <w:rFonts w:ascii="Times New Roman" w:eastAsia="Times New Roman" w:hAnsi="Times New Roman" w:cs="Times New Roman"/>
          <w:b/>
          <w:i/>
          <w:sz w:val="24"/>
          <w:szCs w:val="24"/>
        </w:rPr>
        <w:t>Directive 2004/38/EC</w:t>
      </w:r>
    </w:p>
    <w:p w14:paraId="00000035" w14:textId="5A68C88E" w:rsidR="00B6588E" w:rsidRPr="004E3AC3" w:rsidRDefault="007F5FD7" w:rsidP="00964BB2">
      <w:pPr>
        <w:spacing w:before="240" w:after="240"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This directive was formed to develop a consolidated version of different provisions that were entailed under legislations like two Schengen agreements, one of 1985 and another of 1990 and the precedents. The main aim of this directive was to surpass such f</w:t>
      </w:r>
      <w:r w:rsidRPr="004E3AC3">
        <w:rPr>
          <w:rFonts w:ascii="Times New Roman" w:eastAsia="Times New Roman" w:hAnsi="Times New Roman" w:cs="Times New Roman"/>
          <w:sz w:val="24"/>
          <w:szCs w:val="24"/>
        </w:rPr>
        <w:t>ormalities that make free movement in member states of the EU difficult for the reasons of administrative work. It also assisted information of better definitions for family members and their status. Further, this directive also includes certain limitation</w:t>
      </w:r>
      <w:r w:rsidRPr="004E3AC3">
        <w:rPr>
          <w:rFonts w:ascii="Times New Roman" w:eastAsia="Times New Roman" w:hAnsi="Times New Roman" w:cs="Times New Roman"/>
          <w:sz w:val="24"/>
          <w:szCs w:val="24"/>
        </w:rPr>
        <w:t xml:space="preserve">s that can be placed upon the free movement and residence of the members. </w:t>
      </w:r>
    </w:p>
    <w:p w14:paraId="00000036" w14:textId="77777777" w:rsidR="00B6588E" w:rsidRPr="004E3AC3" w:rsidRDefault="007F5FD7" w:rsidP="00964BB2">
      <w:pPr>
        <w:spacing w:before="240" w:after="240"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lastRenderedPageBreak/>
        <w:t>Under this directive, family members were also included and also consists-</w:t>
      </w:r>
    </w:p>
    <w:p w14:paraId="00000037" w14:textId="77777777" w:rsidR="00B6588E" w:rsidRPr="004E3AC3" w:rsidRDefault="007F5FD7" w:rsidP="00964BB2">
      <w:pPr>
        <w:numPr>
          <w:ilvl w:val="0"/>
          <w:numId w:val="1"/>
        </w:numPr>
        <w:spacing w:before="240" w:after="240"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Spouse</w:t>
      </w:r>
    </w:p>
    <w:p w14:paraId="00000038" w14:textId="1597C1B7" w:rsidR="00B6588E" w:rsidRPr="004E3AC3" w:rsidRDefault="007F5FD7" w:rsidP="00964BB2">
      <w:pPr>
        <w:spacing w:before="240" w:after="240" w:line="360" w:lineRule="auto"/>
        <w:ind w:left="720"/>
        <w:jc w:val="both"/>
        <w:rPr>
          <w:rFonts w:ascii="Times New Roman" w:eastAsia="Times New Roman" w:hAnsi="Times New Roman" w:cs="Times New Roman"/>
          <w:b/>
          <w:i/>
          <w:sz w:val="24"/>
          <w:szCs w:val="24"/>
        </w:rPr>
      </w:pPr>
      <w:r w:rsidRPr="004E3AC3">
        <w:rPr>
          <w:rFonts w:ascii="Times New Roman" w:eastAsia="Times New Roman" w:hAnsi="Times New Roman" w:cs="Times New Roman"/>
          <w:sz w:val="24"/>
          <w:szCs w:val="24"/>
        </w:rPr>
        <w:t>Spouses include the wife or husband of a person. The term might also include the wife or husband of the same gender, as observed in the judgment of Coman</w:t>
      </w:r>
      <w:r w:rsidRPr="004E3AC3">
        <w:rPr>
          <w:rFonts w:ascii="Times New Roman" w:eastAsia="Times New Roman" w:hAnsi="Times New Roman" w:cs="Times New Roman"/>
          <w:sz w:val="24"/>
          <w:szCs w:val="24"/>
          <w:vertAlign w:val="superscript"/>
        </w:rPr>
        <w:footnoteReference w:id="18"/>
      </w:r>
      <w:r w:rsidRPr="004E3AC3">
        <w:rPr>
          <w:rFonts w:ascii="Times New Roman" w:eastAsia="Times New Roman" w:hAnsi="Times New Roman" w:cs="Times New Roman"/>
          <w:sz w:val="24"/>
          <w:szCs w:val="24"/>
        </w:rPr>
        <w:t xml:space="preserve">. Many of the member states of </w:t>
      </w:r>
      <w:r w:rsidR="00820EEC" w:rsidRPr="004E3AC3">
        <w:rPr>
          <w:rFonts w:ascii="Times New Roman" w:eastAsia="Times New Roman" w:hAnsi="Times New Roman" w:cs="Times New Roman"/>
          <w:sz w:val="24"/>
          <w:szCs w:val="24"/>
        </w:rPr>
        <w:t xml:space="preserve">the </w:t>
      </w:r>
      <w:r w:rsidRPr="004E3AC3">
        <w:rPr>
          <w:rFonts w:ascii="Times New Roman" w:eastAsia="Times New Roman" w:hAnsi="Times New Roman" w:cs="Times New Roman"/>
          <w:sz w:val="24"/>
          <w:szCs w:val="24"/>
        </w:rPr>
        <w:t>EU do not recognise the concept of same</w:t>
      </w:r>
      <w:r w:rsidR="00820EEC" w:rsidRPr="004E3AC3">
        <w:rPr>
          <w:rFonts w:ascii="Times New Roman" w:eastAsia="Times New Roman" w:hAnsi="Times New Roman" w:cs="Times New Roman"/>
          <w:sz w:val="24"/>
          <w:szCs w:val="24"/>
        </w:rPr>
        <w:t>-</w:t>
      </w:r>
      <w:r w:rsidRPr="004E3AC3">
        <w:rPr>
          <w:rFonts w:ascii="Times New Roman" w:eastAsia="Times New Roman" w:hAnsi="Times New Roman" w:cs="Times New Roman"/>
          <w:sz w:val="24"/>
          <w:szCs w:val="24"/>
        </w:rPr>
        <w:t>sex marriages, which creat</w:t>
      </w:r>
      <w:r w:rsidRPr="004E3AC3">
        <w:rPr>
          <w:rFonts w:ascii="Times New Roman" w:eastAsia="Times New Roman" w:hAnsi="Times New Roman" w:cs="Times New Roman"/>
          <w:sz w:val="24"/>
          <w:szCs w:val="24"/>
        </w:rPr>
        <w:t xml:space="preserve">ed an issue for the family consisting </w:t>
      </w:r>
      <w:r w:rsidR="00820EEC" w:rsidRPr="004E3AC3">
        <w:rPr>
          <w:rFonts w:ascii="Times New Roman" w:eastAsia="Times New Roman" w:hAnsi="Times New Roman" w:cs="Times New Roman"/>
          <w:sz w:val="24"/>
          <w:szCs w:val="24"/>
        </w:rPr>
        <w:t xml:space="preserve">of </w:t>
      </w:r>
      <w:r w:rsidRPr="004E3AC3">
        <w:rPr>
          <w:rFonts w:ascii="Times New Roman" w:eastAsia="Times New Roman" w:hAnsi="Times New Roman" w:cs="Times New Roman"/>
          <w:sz w:val="24"/>
          <w:szCs w:val="24"/>
        </w:rPr>
        <w:t>such marriages. However, this issue was resolved by the Court of Justice in 2018, where the court observed that the meaning of the term 'spouse' under this directive would not be gender</w:t>
      </w:r>
      <w:r w:rsidR="00820EEC" w:rsidRPr="004E3AC3">
        <w:rPr>
          <w:rFonts w:ascii="Times New Roman" w:eastAsia="Times New Roman" w:hAnsi="Times New Roman" w:cs="Times New Roman"/>
          <w:sz w:val="24"/>
          <w:szCs w:val="24"/>
        </w:rPr>
        <w:t>-</w:t>
      </w:r>
      <w:r w:rsidRPr="004E3AC3">
        <w:rPr>
          <w:rFonts w:ascii="Times New Roman" w:eastAsia="Times New Roman" w:hAnsi="Times New Roman" w:cs="Times New Roman"/>
          <w:sz w:val="24"/>
          <w:szCs w:val="24"/>
        </w:rPr>
        <w:t>biased. This judgment resolve</w:t>
      </w:r>
      <w:r w:rsidRPr="004E3AC3">
        <w:rPr>
          <w:rFonts w:ascii="Times New Roman" w:eastAsia="Times New Roman" w:hAnsi="Times New Roman" w:cs="Times New Roman"/>
          <w:sz w:val="24"/>
          <w:szCs w:val="24"/>
        </w:rPr>
        <w:t>d the question of free movement and residence for same</w:t>
      </w:r>
      <w:r w:rsidR="00820EEC" w:rsidRPr="004E3AC3">
        <w:rPr>
          <w:rFonts w:ascii="Times New Roman" w:eastAsia="Times New Roman" w:hAnsi="Times New Roman" w:cs="Times New Roman"/>
          <w:sz w:val="24"/>
          <w:szCs w:val="24"/>
        </w:rPr>
        <w:t>-</w:t>
      </w:r>
      <w:r w:rsidRPr="004E3AC3">
        <w:rPr>
          <w:rFonts w:ascii="Times New Roman" w:eastAsia="Times New Roman" w:hAnsi="Times New Roman" w:cs="Times New Roman"/>
          <w:sz w:val="24"/>
          <w:szCs w:val="24"/>
        </w:rPr>
        <w:t>sex couples.</w:t>
      </w:r>
    </w:p>
    <w:p w14:paraId="00000039" w14:textId="6E522E83" w:rsidR="00B6588E" w:rsidRPr="004E3AC3" w:rsidRDefault="007F5FD7" w:rsidP="00964BB2">
      <w:pPr>
        <w:numPr>
          <w:ilvl w:val="0"/>
          <w:numId w:val="1"/>
        </w:numPr>
        <w:spacing w:before="240"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 xml:space="preserve"> It also includes partners that can be registered </w:t>
      </w:r>
      <w:r w:rsidR="00820EEC" w:rsidRPr="004E3AC3">
        <w:rPr>
          <w:rFonts w:ascii="Times New Roman" w:eastAsia="Times New Roman" w:hAnsi="Times New Roman" w:cs="Times New Roman"/>
          <w:sz w:val="24"/>
          <w:szCs w:val="24"/>
        </w:rPr>
        <w:t>following</w:t>
      </w:r>
      <w:r w:rsidRPr="004E3AC3">
        <w:rPr>
          <w:rFonts w:ascii="Times New Roman" w:eastAsia="Times New Roman" w:hAnsi="Times New Roman" w:cs="Times New Roman"/>
          <w:sz w:val="24"/>
          <w:szCs w:val="24"/>
        </w:rPr>
        <w:t xml:space="preserve"> the provisions of the host state. It is possible if that state gives these registered partners as marriage partners.</w:t>
      </w:r>
    </w:p>
    <w:p w14:paraId="0000003A" w14:textId="77777777" w:rsidR="00B6588E" w:rsidRPr="004E3AC3" w:rsidRDefault="007F5FD7" w:rsidP="00964BB2">
      <w:pPr>
        <w:numPr>
          <w:ilvl w:val="0"/>
          <w:numId w:val="1"/>
        </w:numPr>
        <w:spacing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It also inc</w:t>
      </w:r>
      <w:r w:rsidRPr="004E3AC3">
        <w:rPr>
          <w:rFonts w:ascii="Times New Roman" w:eastAsia="Times New Roman" w:hAnsi="Times New Roman" w:cs="Times New Roman"/>
          <w:sz w:val="24"/>
          <w:szCs w:val="24"/>
        </w:rPr>
        <w:t xml:space="preserve">ludes children who are less than 21 years of age and dependents, including those of the partners of the individual. </w:t>
      </w:r>
      <w:r w:rsidRPr="004E3AC3">
        <w:rPr>
          <w:rFonts w:ascii="Times New Roman" w:eastAsia="Times New Roman" w:hAnsi="Times New Roman" w:cs="Times New Roman"/>
          <w:sz w:val="24"/>
          <w:szCs w:val="24"/>
        </w:rPr>
        <w:tab/>
      </w:r>
    </w:p>
    <w:p w14:paraId="0000003B" w14:textId="77777777" w:rsidR="00B6588E" w:rsidRPr="004E3AC3" w:rsidRDefault="007F5FD7" w:rsidP="00964BB2">
      <w:pPr>
        <w:numPr>
          <w:ilvl w:val="0"/>
          <w:numId w:val="1"/>
        </w:numPr>
        <w:spacing w:after="240"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 xml:space="preserve"> Ascendants of the individual or those of partners that are directly related dependants.</w:t>
      </w:r>
      <w:r w:rsidRPr="004E3AC3">
        <w:rPr>
          <w:rFonts w:ascii="Times New Roman" w:hAnsi="Times New Roman" w:cs="Times New Roman"/>
          <w:sz w:val="24"/>
          <w:szCs w:val="24"/>
        </w:rPr>
        <w:tab/>
      </w:r>
    </w:p>
    <w:p w14:paraId="0000003C" w14:textId="34C48087" w:rsidR="00B6588E" w:rsidRPr="004E3AC3" w:rsidRDefault="007F5FD7" w:rsidP="00964BB2">
      <w:pPr>
        <w:spacing w:before="240" w:after="240"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This directive also establishes certain rights a</w:t>
      </w:r>
      <w:r w:rsidRPr="004E3AC3">
        <w:rPr>
          <w:rFonts w:ascii="Times New Roman" w:eastAsia="Times New Roman" w:hAnsi="Times New Roman" w:cs="Times New Roman"/>
          <w:sz w:val="24"/>
          <w:szCs w:val="24"/>
        </w:rPr>
        <w:t>nd duties, ensuring freedom. For instance</w:t>
      </w:r>
      <w:r w:rsidR="00820EEC" w:rsidRPr="004E3AC3">
        <w:rPr>
          <w:rFonts w:ascii="Times New Roman" w:eastAsia="Times New Roman" w:hAnsi="Times New Roman" w:cs="Times New Roman"/>
          <w:sz w:val="24"/>
          <w:szCs w:val="24"/>
        </w:rPr>
        <w:t>,</w:t>
      </w:r>
      <w:r w:rsidRPr="004E3AC3">
        <w:rPr>
          <w:rFonts w:ascii="Times New Roman" w:eastAsia="Times New Roman" w:hAnsi="Times New Roman" w:cs="Times New Roman"/>
          <w:sz w:val="24"/>
          <w:szCs w:val="24"/>
        </w:rPr>
        <w:t xml:space="preserve"> if a person is to stay for less than 3 months, then they are only required to have valid identity proof and registration for the period of stay. Further, the freedom is not absolute and can be understood by the pr</w:t>
      </w:r>
      <w:r w:rsidRPr="004E3AC3">
        <w:rPr>
          <w:rFonts w:ascii="Times New Roman" w:eastAsia="Times New Roman" w:hAnsi="Times New Roman" w:cs="Times New Roman"/>
          <w:sz w:val="24"/>
          <w:szCs w:val="24"/>
        </w:rPr>
        <w:t>ovision of registration in the host member state in case o</w:t>
      </w:r>
      <w:r w:rsidR="00820EEC" w:rsidRPr="004E3AC3">
        <w:rPr>
          <w:rFonts w:ascii="Times New Roman" w:eastAsia="Times New Roman" w:hAnsi="Times New Roman" w:cs="Times New Roman"/>
          <w:sz w:val="24"/>
          <w:szCs w:val="24"/>
        </w:rPr>
        <w:t>f a stay longer than 3 months.</w:t>
      </w:r>
      <w:r w:rsidRPr="004E3AC3">
        <w:rPr>
          <w:rFonts w:ascii="Times New Roman" w:eastAsia="Times New Roman" w:hAnsi="Times New Roman" w:cs="Times New Roman"/>
          <w:sz w:val="24"/>
          <w:szCs w:val="24"/>
        </w:rPr>
        <w:t xml:space="preserve"> It is required by the citizens and famil</w:t>
      </w:r>
      <w:r w:rsidR="00820EEC" w:rsidRPr="004E3AC3">
        <w:rPr>
          <w:rFonts w:ascii="Times New Roman" w:eastAsia="Times New Roman" w:hAnsi="Times New Roman" w:cs="Times New Roman"/>
          <w:sz w:val="24"/>
          <w:szCs w:val="24"/>
        </w:rPr>
        <w:t>ies</w:t>
      </w:r>
      <w:r w:rsidRPr="004E3AC3">
        <w:rPr>
          <w:rFonts w:ascii="Times New Roman" w:eastAsia="Times New Roman" w:hAnsi="Times New Roman" w:cs="Times New Roman"/>
          <w:sz w:val="24"/>
          <w:szCs w:val="24"/>
        </w:rPr>
        <w:t xml:space="preserve"> of the citizens to register with the host state or apply for a residential permit.</w:t>
      </w:r>
      <w:r w:rsidRPr="004E3AC3">
        <w:rPr>
          <w:rFonts w:ascii="Times New Roman" w:eastAsia="Times New Roman" w:hAnsi="Times New Roman" w:cs="Times New Roman"/>
          <w:b/>
          <w:sz w:val="24"/>
          <w:szCs w:val="24"/>
        </w:rPr>
        <w:t xml:space="preserve"> </w:t>
      </w:r>
      <w:r w:rsidRPr="004E3AC3">
        <w:rPr>
          <w:rFonts w:ascii="Times New Roman" w:eastAsia="Times New Roman" w:hAnsi="Times New Roman" w:cs="Times New Roman"/>
          <w:sz w:val="24"/>
          <w:szCs w:val="24"/>
        </w:rPr>
        <w:t>Further, the right of movement in case a</w:t>
      </w:r>
      <w:r w:rsidRPr="004E3AC3">
        <w:rPr>
          <w:rFonts w:ascii="Times New Roman" w:eastAsia="Times New Roman" w:hAnsi="Times New Roman" w:cs="Times New Roman"/>
          <w:sz w:val="24"/>
          <w:szCs w:val="24"/>
        </w:rPr>
        <w:t xml:space="preserve"> citizen wants to permanently reside in a state requires them to apply for the same after the completion of 5 years of stay legally.</w:t>
      </w:r>
      <w:r w:rsidRPr="004E3AC3">
        <w:rPr>
          <w:rFonts w:ascii="Times New Roman" w:eastAsia="Times New Roman" w:hAnsi="Times New Roman" w:cs="Times New Roman"/>
          <w:sz w:val="24"/>
          <w:szCs w:val="24"/>
          <w:vertAlign w:val="superscript"/>
        </w:rPr>
        <w:footnoteReference w:id="19"/>
      </w:r>
      <w:r w:rsidRPr="004E3AC3">
        <w:rPr>
          <w:rFonts w:ascii="Times New Roman" w:eastAsia="Times New Roman" w:hAnsi="Times New Roman" w:cs="Times New Roman"/>
          <w:sz w:val="24"/>
          <w:szCs w:val="24"/>
        </w:rPr>
        <w:t>. Furthermore, this directive also places certain restrictions on the entry and residence of citizens if they do not compl</w:t>
      </w:r>
      <w:r w:rsidRPr="004E3AC3">
        <w:rPr>
          <w:rFonts w:ascii="Times New Roman" w:eastAsia="Times New Roman" w:hAnsi="Times New Roman" w:cs="Times New Roman"/>
          <w:sz w:val="24"/>
          <w:szCs w:val="24"/>
        </w:rPr>
        <w:t>y with provisions of policy, security and health of the public. These can be judged through the conduct of a citizen or their family.</w:t>
      </w:r>
    </w:p>
    <w:p w14:paraId="0000003D" w14:textId="77777777" w:rsidR="00B6588E" w:rsidRPr="004E3AC3" w:rsidRDefault="007F5FD7" w:rsidP="00964BB2">
      <w:pPr>
        <w:spacing w:after="240"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lastRenderedPageBreak/>
        <w:t xml:space="preserve">In the case of </w:t>
      </w:r>
      <w:r w:rsidRPr="004E3AC3">
        <w:rPr>
          <w:rFonts w:ascii="Times New Roman" w:eastAsia="Times New Roman" w:hAnsi="Times New Roman" w:cs="Times New Roman"/>
          <w:i/>
          <w:iCs/>
          <w:sz w:val="24"/>
          <w:szCs w:val="24"/>
        </w:rPr>
        <w:t>Sala v Freistaat Bayern</w:t>
      </w:r>
      <w:r w:rsidRPr="004E3AC3">
        <w:rPr>
          <w:rFonts w:ascii="Times New Roman" w:eastAsia="Times New Roman" w:hAnsi="Times New Roman" w:cs="Times New Roman"/>
          <w:sz w:val="24"/>
          <w:szCs w:val="24"/>
          <w:vertAlign w:val="superscript"/>
        </w:rPr>
        <w:footnoteReference w:id="20"/>
      </w:r>
      <w:r w:rsidRPr="004E3AC3">
        <w:rPr>
          <w:rFonts w:ascii="Times New Roman" w:eastAsia="Times New Roman" w:hAnsi="Times New Roman" w:cs="Times New Roman"/>
          <w:sz w:val="24"/>
          <w:szCs w:val="24"/>
        </w:rPr>
        <w:t>, the concept of equal treatment came forward. This was to be discussed in regards to citizens that do not hold citizenship or residence permit in a host state but was given the child allowance by the court by recognising that she had been an integrated pa</w:t>
      </w:r>
      <w:r w:rsidRPr="004E3AC3">
        <w:rPr>
          <w:rFonts w:ascii="Times New Roman" w:eastAsia="Times New Roman" w:hAnsi="Times New Roman" w:cs="Times New Roman"/>
          <w:sz w:val="24"/>
          <w:szCs w:val="24"/>
        </w:rPr>
        <w:t>rt of the society.</w:t>
      </w:r>
    </w:p>
    <w:p w14:paraId="0000003E" w14:textId="3D394E02" w:rsidR="00B6588E" w:rsidRPr="004E3AC3" w:rsidRDefault="007F5FD7" w:rsidP="00964BB2">
      <w:pPr>
        <w:spacing w:after="240"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 xml:space="preserve">Further, in the case of </w:t>
      </w:r>
      <w:r w:rsidRPr="004E3AC3">
        <w:rPr>
          <w:rFonts w:ascii="Times New Roman" w:eastAsia="Times New Roman" w:hAnsi="Times New Roman" w:cs="Times New Roman"/>
          <w:i/>
          <w:sz w:val="24"/>
          <w:szCs w:val="24"/>
        </w:rPr>
        <w:t>Grzelczyk</w:t>
      </w:r>
      <w:r w:rsidRPr="004E3AC3">
        <w:rPr>
          <w:rFonts w:ascii="Times New Roman" w:eastAsia="Times New Roman" w:hAnsi="Times New Roman" w:cs="Times New Roman"/>
          <w:i/>
          <w:sz w:val="24"/>
          <w:szCs w:val="24"/>
          <w:vertAlign w:val="superscript"/>
        </w:rPr>
        <w:footnoteReference w:id="21"/>
      </w:r>
      <w:r w:rsidRPr="004E3AC3">
        <w:rPr>
          <w:rFonts w:ascii="Times New Roman" w:eastAsia="Times New Roman" w:hAnsi="Times New Roman" w:cs="Times New Roman"/>
          <w:i/>
          <w:sz w:val="24"/>
          <w:szCs w:val="24"/>
        </w:rPr>
        <w:t xml:space="preserve"> </w:t>
      </w:r>
      <w:r w:rsidRPr="004E3AC3">
        <w:rPr>
          <w:rFonts w:ascii="Times New Roman" w:eastAsia="Times New Roman" w:hAnsi="Times New Roman" w:cs="Times New Roman"/>
          <w:sz w:val="24"/>
          <w:szCs w:val="24"/>
        </w:rPr>
        <w:t xml:space="preserve">, the question of </w:t>
      </w:r>
      <w:r w:rsidR="00820EEC" w:rsidRPr="004E3AC3">
        <w:rPr>
          <w:rFonts w:ascii="Times New Roman" w:eastAsia="Times New Roman" w:hAnsi="Times New Roman" w:cs="Times New Roman"/>
          <w:sz w:val="24"/>
          <w:szCs w:val="24"/>
        </w:rPr>
        <w:t xml:space="preserve">the </w:t>
      </w:r>
      <w:r w:rsidRPr="004E3AC3">
        <w:rPr>
          <w:rFonts w:ascii="Times New Roman" w:eastAsia="Times New Roman" w:hAnsi="Times New Roman" w:cs="Times New Roman"/>
          <w:sz w:val="24"/>
          <w:szCs w:val="24"/>
        </w:rPr>
        <w:t>free movement arose in respect of a student who applied for the funds for his study by the provisions of Article 7(1)(c) of the directive of 2004. He was denied the funds on the b</w:t>
      </w:r>
      <w:r w:rsidRPr="004E3AC3">
        <w:rPr>
          <w:rFonts w:ascii="Times New Roman" w:eastAsia="Times New Roman" w:hAnsi="Times New Roman" w:cs="Times New Roman"/>
          <w:sz w:val="24"/>
          <w:szCs w:val="24"/>
        </w:rPr>
        <w:t>asis that he was not Belgian. However, the court observed that he is entitled to receive the “minimex”. Further</w:t>
      </w:r>
      <w:r w:rsidR="00820EEC" w:rsidRPr="004E3AC3">
        <w:rPr>
          <w:rFonts w:ascii="Times New Roman" w:eastAsia="Times New Roman" w:hAnsi="Times New Roman" w:cs="Times New Roman"/>
          <w:sz w:val="24"/>
          <w:szCs w:val="24"/>
        </w:rPr>
        <w:t>,</w:t>
      </w:r>
      <w:r w:rsidRPr="004E3AC3">
        <w:rPr>
          <w:rFonts w:ascii="Times New Roman" w:eastAsia="Times New Roman" w:hAnsi="Times New Roman" w:cs="Times New Roman"/>
          <w:sz w:val="24"/>
          <w:szCs w:val="24"/>
        </w:rPr>
        <w:t xml:space="preserve"> the court observed that Article 21 of </w:t>
      </w:r>
      <w:r w:rsidR="00820EEC" w:rsidRPr="004E3AC3">
        <w:rPr>
          <w:rFonts w:ascii="Times New Roman" w:eastAsia="Times New Roman" w:hAnsi="Times New Roman" w:cs="Times New Roman"/>
          <w:sz w:val="24"/>
          <w:szCs w:val="24"/>
        </w:rPr>
        <w:t xml:space="preserve">the </w:t>
      </w:r>
      <w:r w:rsidRPr="004E3AC3">
        <w:rPr>
          <w:rFonts w:ascii="Times New Roman" w:eastAsia="Times New Roman" w:hAnsi="Times New Roman" w:cs="Times New Roman"/>
          <w:sz w:val="24"/>
          <w:szCs w:val="24"/>
        </w:rPr>
        <w:t xml:space="preserve">Treaty concerning </w:t>
      </w:r>
      <w:r w:rsidR="00820EEC" w:rsidRPr="004E3AC3">
        <w:rPr>
          <w:rFonts w:ascii="Times New Roman" w:eastAsia="Times New Roman" w:hAnsi="Times New Roman" w:cs="Times New Roman"/>
          <w:sz w:val="24"/>
          <w:szCs w:val="24"/>
        </w:rPr>
        <w:t xml:space="preserve">the </w:t>
      </w:r>
      <w:r w:rsidRPr="004E3AC3">
        <w:rPr>
          <w:rFonts w:ascii="Times New Roman" w:eastAsia="Times New Roman" w:hAnsi="Times New Roman" w:cs="Times New Roman"/>
          <w:sz w:val="24"/>
          <w:szCs w:val="24"/>
        </w:rPr>
        <w:t xml:space="preserve">functioning of </w:t>
      </w:r>
      <w:r w:rsidR="00820EEC" w:rsidRPr="004E3AC3">
        <w:rPr>
          <w:rFonts w:ascii="Times New Roman" w:eastAsia="Times New Roman" w:hAnsi="Times New Roman" w:cs="Times New Roman"/>
          <w:sz w:val="24"/>
          <w:szCs w:val="24"/>
        </w:rPr>
        <w:t xml:space="preserve">the </w:t>
      </w:r>
      <w:r w:rsidRPr="004E3AC3">
        <w:rPr>
          <w:rFonts w:ascii="Times New Roman" w:eastAsia="Times New Roman" w:hAnsi="Times New Roman" w:cs="Times New Roman"/>
          <w:sz w:val="24"/>
          <w:szCs w:val="24"/>
        </w:rPr>
        <w:t>EU along with Article 18 protects Grzelczyk from the discrim</w:t>
      </w:r>
      <w:r w:rsidRPr="004E3AC3">
        <w:rPr>
          <w:rFonts w:ascii="Times New Roman" w:eastAsia="Times New Roman" w:hAnsi="Times New Roman" w:cs="Times New Roman"/>
          <w:sz w:val="24"/>
          <w:szCs w:val="24"/>
        </w:rPr>
        <w:t>ination he had to face under the law of Belgian.</w:t>
      </w:r>
    </w:p>
    <w:p w14:paraId="0000003F" w14:textId="2AFCED9B" w:rsidR="00B6588E" w:rsidRPr="004E3AC3" w:rsidRDefault="007F5FD7" w:rsidP="00964BB2">
      <w:pPr>
        <w:spacing w:after="240"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 xml:space="preserve">Further, in the case of </w:t>
      </w:r>
      <w:r w:rsidRPr="004E3AC3">
        <w:rPr>
          <w:rFonts w:ascii="Times New Roman" w:eastAsia="Times New Roman" w:hAnsi="Times New Roman" w:cs="Times New Roman"/>
          <w:i/>
          <w:iCs/>
          <w:sz w:val="24"/>
          <w:szCs w:val="24"/>
        </w:rPr>
        <w:t>Collins.</w:t>
      </w:r>
      <w:r w:rsidRPr="004E3AC3">
        <w:rPr>
          <w:rFonts w:ascii="Times New Roman" w:eastAsia="Times New Roman" w:hAnsi="Times New Roman" w:cs="Times New Roman"/>
          <w:sz w:val="24"/>
          <w:szCs w:val="24"/>
          <w:vertAlign w:val="superscript"/>
        </w:rPr>
        <w:footnoteReference w:id="22"/>
      </w:r>
      <w:r w:rsidRPr="004E3AC3">
        <w:rPr>
          <w:rFonts w:ascii="Times New Roman" w:eastAsia="Times New Roman" w:hAnsi="Times New Roman" w:cs="Times New Roman"/>
          <w:sz w:val="24"/>
          <w:szCs w:val="24"/>
        </w:rPr>
        <w:t xml:space="preserve">, it was confirmed by the court that Further, in the case of Collins, it was confirmed by the court that there is a difference between workers who are full time employed as </w:t>
      </w:r>
      <w:r w:rsidRPr="004E3AC3">
        <w:rPr>
          <w:rFonts w:ascii="Times New Roman" w:eastAsia="Times New Roman" w:hAnsi="Times New Roman" w:cs="Times New Roman"/>
          <w:sz w:val="24"/>
          <w:szCs w:val="24"/>
        </w:rPr>
        <w:t xml:space="preserve">they have benefits that can be obtained from this directive and Article 45. These benefits are in the areas of equality where they have the right to be treated in the same manner as that of other workers, advantages that are derived from social bonds, and </w:t>
      </w:r>
      <w:r w:rsidRPr="004E3AC3">
        <w:rPr>
          <w:rFonts w:ascii="Times New Roman" w:eastAsia="Times New Roman" w:hAnsi="Times New Roman" w:cs="Times New Roman"/>
          <w:sz w:val="24"/>
          <w:szCs w:val="24"/>
        </w:rPr>
        <w:t>other people who are looking for jobs. Even if these people are protected under Article 45. Their benefit is limited to employment access regulations.</w:t>
      </w:r>
    </w:p>
    <w:p w14:paraId="00000040" w14:textId="1DF49C2A" w:rsidR="00B6588E" w:rsidRPr="004E3AC3" w:rsidRDefault="007F5FD7" w:rsidP="00964BB2">
      <w:pPr>
        <w:spacing w:after="240" w:line="360" w:lineRule="auto"/>
        <w:jc w:val="both"/>
        <w:rPr>
          <w:rFonts w:ascii="Times New Roman" w:eastAsia="Times New Roman" w:hAnsi="Times New Roman" w:cs="Times New Roman"/>
          <w:sz w:val="24"/>
          <w:szCs w:val="24"/>
        </w:rPr>
      </w:pPr>
      <w:r w:rsidRPr="004E3AC3">
        <w:rPr>
          <w:rFonts w:ascii="Times New Roman" w:eastAsia="Times New Roman" w:hAnsi="Times New Roman" w:cs="Times New Roman"/>
          <w:sz w:val="24"/>
          <w:szCs w:val="24"/>
        </w:rPr>
        <w:t>There have been many shortcomings in the peaceful implementation of this directive, as found out by diffe</w:t>
      </w:r>
      <w:r w:rsidRPr="004E3AC3">
        <w:rPr>
          <w:rFonts w:ascii="Times New Roman" w:eastAsia="Times New Roman" w:hAnsi="Times New Roman" w:cs="Times New Roman"/>
          <w:sz w:val="24"/>
          <w:szCs w:val="24"/>
        </w:rPr>
        <w:t xml:space="preserve">rent case laws and reports. Also, the cases that have come up in the front of the Court of Justice have increased. All of this can be understood as possible obstacles in the implementation of </w:t>
      </w:r>
      <w:r w:rsidR="00820EEC" w:rsidRPr="004E3AC3">
        <w:rPr>
          <w:rFonts w:ascii="Times New Roman" w:eastAsia="Times New Roman" w:hAnsi="Times New Roman" w:cs="Times New Roman"/>
          <w:sz w:val="24"/>
          <w:szCs w:val="24"/>
        </w:rPr>
        <w:t xml:space="preserve">the </w:t>
      </w:r>
      <w:r w:rsidRPr="004E3AC3">
        <w:rPr>
          <w:rFonts w:ascii="Times New Roman" w:eastAsia="Times New Roman" w:hAnsi="Times New Roman" w:cs="Times New Roman"/>
          <w:sz w:val="24"/>
          <w:szCs w:val="24"/>
        </w:rPr>
        <w:t>free movement of citizens. It is also suggested that the pro</w:t>
      </w:r>
      <w:r w:rsidRPr="004E3AC3">
        <w:rPr>
          <w:rFonts w:ascii="Times New Roman" w:eastAsia="Times New Roman" w:hAnsi="Times New Roman" w:cs="Times New Roman"/>
          <w:sz w:val="24"/>
          <w:szCs w:val="24"/>
        </w:rPr>
        <w:t xml:space="preserve">vision is still in need of reforms that can cure such issues. But, the freedom of movement specified in the EU </w:t>
      </w:r>
      <w:r w:rsidR="00964BB2" w:rsidRPr="004E3AC3">
        <w:rPr>
          <w:rFonts w:ascii="Times New Roman" w:eastAsia="Times New Roman" w:hAnsi="Times New Roman" w:cs="Times New Roman"/>
          <w:sz w:val="24"/>
          <w:szCs w:val="24"/>
        </w:rPr>
        <w:t>cannot</w:t>
      </w:r>
      <w:r w:rsidRPr="004E3AC3">
        <w:rPr>
          <w:rFonts w:ascii="Times New Roman" w:eastAsia="Times New Roman" w:hAnsi="Times New Roman" w:cs="Times New Roman"/>
          <w:sz w:val="24"/>
          <w:szCs w:val="24"/>
        </w:rPr>
        <w:t xml:space="preserve"> be said as an absolute right because this right is covered by different provisions that are needed to be followed by the citizens. If the </w:t>
      </w:r>
      <w:r w:rsidRPr="004E3AC3">
        <w:rPr>
          <w:rFonts w:ascii="Times New Roman" w:eastAsia="Times New Roman" w:hAnsi="Times New Roman" w:cs="Times New Roman"/>
          <w:sz w:val="24"/>
          <w:szCs w:val="24"/>
        </w:rPr>
        <w:t xml:space="preserve">citizens </w:t>
      </w:r>
      <w:r w:rsidR="00964BB2" w:rsidRPr="004E3AC3">
        <w:rPr>
          <w:rFonts w:ascii="Times New Roman" w:eastAsia="Times New Roman" w:hAnsi="Times New Roman" w:cs="Times New Roman"/>
          <w:sz w:val="24"/>
          <w:szCs w:val="24"/>
        </w:rPr>
        <w:t>fulfil</w:t>
      </w:r>
      <w:r w:rsidRPr="004E3AC3">
        <w:rPr>
          <w:rFonts w:ascii="Times New Roman" w:eastAsia="Times New Roman" w:hAnsi="Times New Roman" w:cs="Times New Roman"/>
          <w:sz w:val="24"/>
          <w:szCs w:val="24"/>
        </w:rPr>
        <w:t xml:space="preserve"> their obligations, only then they are entitled to move freely.</w:t>
      </w:r>
    </w:p>
    <w:p w14:paraId="00000041" w14:textId="77777777" w:rsidR="00B6588E" w:rsidRPr="004E3AC3" w:rsidRDefault="007F5FD7">
      <w:pPr>
        <w:spacing w:before="240" w:after="240"/>
        <w:rPr>
          <w:sz w:val="24"/>
          <w:szCs w:val="24"/>
        </w:rPr>
      </w:pPr>
      <w:r w:rsidRPr="004E3AC3">
        <w:rPr>
          <w:rFonts w:ascii="Times New Roman" w:eastAsia="Times New Roman" w:hAnsi="Times New Roman" w:cs="Times New Roman"/>
          <w:sz w:val="24"/>
          <w:szCs w:val="24"/>
        </w:rPr>
        <w:tab/>
      </w:r>
      <w:r w:rsidRPr="004E3AC3">
        <w:rPr>
          <w:rFonts w:ascii="Times New Roman" w:eastAsia="Times New Roman" w:hAnsi="Times New Roman" w:cs="Times New Roman"/>
          <w:b/>
          <w:sz w:val="24"/>
          <w:szCs w:val="24"/>
        </w:rPr>
        <w:tab/>
      </w:r>
    </w:p>
    <w:p w14:paraId="00000042" w14:textId="77777777" w:rsidR="00B6588E" w:rsidRPr="004E3AC3" w:rsidRDefault="00B6588E"/>
    <w:p w14:paraId="00000043" w14:textId="77777777" w:rsidR="00B6588E" w:rsidRPr="004E3AC3" w:rsidRDefault="00B6588E"/>
    <w:p w14:paraId="00000045" w14:textId="77777777" w:rsidR="00B6588E" w:rsidRPr="004E3AC3" w:rsidRDefault="00B6588E"/>
    <w:sectPr w:rsidR="00B6588E" w:rsidRPr="004E3AC3" w:rsidSect="00820EEC">
      <w:footerReference w:type="default" r:id="rId8"/>
      <w:pgSz w:w="11909" w:h="16834"/>
      <w:pgMar w:top="1440" w:right="1440" w:bottom="1440" w:left="1440"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E805B8" w14:textId="77777777" w:rsidR="007F5FD7" w:rsidRDefault="007F5FD7">
      <w:pPr>
        <w:spacing w:line="240" w:lineRule="auto"/>
      </w:pPr>
      <w:r>
        <w:separator/>
      </w:r>
    </w:p>
  </w:endnote>
  <w:endnote w:type="continuationSeparator" w:id="0">
    <w:p w14:paraId="3AE39DF2" w14:textId="77777777" w:rsidR="007F5FD7" w:rsidRDefault="007F5F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8432649"/>
      <w:docPartObj>
        <w:docPartGallery w:val="Page Numbers (Bottom of Page)"/>
        <w:docPartUnique/>
      </w:docPartObj>
    </w:sdtPr>
    <w:sdtEndPr>
      <w:rPr>
        <w:noProof/>
      </w:rPr>
    </w:sdtEndPr>
    <w:sdtContent>
      <w:p w14:paraId="72257230" w14:textId="43C4AF27" w:rsidR="00820EEC" w:rsidRDefault="007F5FD7">
        <w:pPr>
          <w:pStyle w:val="Footer"/>
          <w:jc w:val="right"/>
        </w:pPr>
        <w:r>
          <w:fldChar w:fldCharType="begin"/>
        </w:r>
        <w:r>
          <w:instrText xml:space="preserve"> PAGE   \* MERGEFORMAT </w:instrText>
        </w:r>
        <w:r>
          <w:fldChar w:fldCharType="separate"/>
        </w:r>
        <w:r>
          <w:rPr>
            <w:noProof/>
          </w:rPr>
          <w:t>3</w:t>
        </w:r>
        <w:r>
          <w:rPr>
            <w:noProof/>
          </w:rPr>
          <w:fldChar w:fldCharType="end"/>
        </w:r>
      </w:p>
    </w:sdtContent>
  </w:sdt>
  <w:p w14:paraId="237DDA58" w14:textId="77777777" w:rsidR="00820EEC" w:rsidRDefault="00820E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55366" w14:textId="77777777" w:rsidR="007F5FD7" w:rsidRDefault="007F5FD7">
      <w:pPr>
        <w:spacing w:line="240" w:lineRule="auto"/>
      </w:pPr>
      <w:r>
        <w:separator/>
      </w:r>
    </w:p>
  </w:footnote>
  <w:footnote w:type="continuationSeparator" w:id="0">
    <w:p w14:paraId="42A7730B" w14:textId="77777777" w:rsidR="007F5FD7" w:rsidRDefault="007F5FD7">
      <w:pPr>
        <w:spacing w:line="240" w:lineRule="auto"/>
      </w:pPr>
      <w:r>
        <w:continuationSeparator/>
      </w:r>
    </w:p>
  </w:footnote>
  <w:footnote w:id="1">
    <w:p w14:paraId="0000005C"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Desmond Dinan, Neill Nugent and William E. Patersen, The</w:t>
      </w:r>
      <w:r w:rsidRPr="00820EEC">
        <w:rPr>
          <w:rFonts w:ascii="Times New Roman" w:hAnsi="Times New Roman" w:cs="Times New Roman"/>
          <w:sz w:val="20"/>
          <w:szCs w:val="20"/>
        </w:rPr>
        <w:t xml:space="preserve"> European Union in Crisis (Macmillan International Higher Education,2017) &lt;</w:t>
      </w:r>
      <w:hyperlink r:id="rId1" w:history="1">
        <w:r w:rsidRPr="00820EEC">
          <w:rPr>
            <w:rFonts w:ascii="Times New Roman" w:hAnsi="Times New Roman" w:cs="Times New Roman"/>
            <w:color w:val="1155CC"/>
            <w:sz w:val="20"/>
            <w:szCs w:val="20"/>
            <w:u w:val="single"/>
          </w:rPr>
          <w:t>https://www.researchgate.net/profile/Wolfgang-Seibel/publication/318590970_The_European_Union_Ukraine_and_The_Unstable_East/links/5c78e669299bf1268d2dce38/The-European-Union-Ukraine-and-The-Unstable-East.pdf</w:t>
        </w:r>
      </w:hyperlink>
      <w:r w:rsidRPr="00820EEC">
        <w:rPr>
          <w:rFonts w:ascii="Times New Roman" w:hAnsi="Times New Roman" w:cs="Times New Roman"/>
          <w:sz w:val="20"/>
          <w:szCs w:val="20"/>
        </w:rPr>
        <w:t xml:space="preserve"> &gt; acc</w:t>
      </w:r>
      <w:r w:rsidRPr="00820EEC">
        <w:rPr>
          <w:rFonts w:ascii="Times New Roman" w:hAnsi="Times New Roman" w:cs="Times New Roman"/>
          <w:sz w:val="20"/>
          <w:szCs w:val="20"/>
        </w:rPr>
        <w:t>essed 9th August 2021</w:t>
      </w:r>
    </w:p>
  </w:footnote>
  <w:footnote w:id="2">
    <w:p w14:paraId="0000005D"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VallecilloLucia Graziatti, 'THE TREATIES OF MAASTRICHT, AMSTERDAM, AND NICE' [2018] MEST Journal &lt;</w:t>
      </w:r>
      <w:hyperlink r:id="rId2" w:history="1">
        <w:r w:rsidRPr="00820EEC">
          <w:rPr>
            <w:rFonts w:ascii="Times New Roman" w:hAnsi="Times New Roman" w:cs="Times New Roman"/>
            <w:color w:val="1155CC"/>
            <w:sz w:val="20"/>
            <w:szCs w:val="20"/>
            <w:u w:val="single"/>
          </w:rPr>
          <w:t>https://mest.meste.org/MEST_Najava/XI_Vallecillo.pdf</w:t>
        </w:r>
      </w:hyperlink>
      <w:r w:rsidRPr="00820EEC">
        <w:rPr>
          <w:rFonts w:ascii="Times New Roman" w:hAnsi="Times New Roman" w:cs="Times New Roman"/>
          <w:sz w:val="20"/>
          <w:szCs w:val="20"/>
        </w:rPr>
        <w:t xml:space="preserve"> &gt; accessed 9</w:t>
      </w:r>
      <w:r w:rsidRPr="00820EEC">
        <w:rPr>
          <w:rFonts w:ascii="Times New Roman" w:hAnsi="Times New Roman" w:cs="Times New Roman"/>
          <w:sz w:val="20"/>
          <w:szCs w:val="20"/>
        </w:rPr>
        <w:t xml:space="preserve"> August 2021</w:t>
      </w:r>
    </w:p>
  </w:footnote>
  <w:footnote w:id="3">
    <w:p w14:paraId="0000005E"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Dragoș Adrian bantaȘ and DianaElena CĂpriȚĂ, 'EMERGENCE AND EVOLUTION OF THE ECONOMIC AND MONETARY UNION: OVERLOOK AT THE DECISION-MAKING PROCESS AND THE LEGAL INSTRUMENTS USED (FROM THE MAASTRICHT TREATY TO THE PRESENT DAY)' [2018] &lt;</w:t>
      </w:r>
      <w:hyperlink r:id="rId3" w:history="1">
        <w:r w:rsidRPr="00820EEC">
          <w:rPr>
            <w:rFonts w:ascii="Times New Roman" w:hAnsi="Times New Roman" w:cs="Times New Roman"/>
            <w:color w:val="1155CC"/>
            <w:sz w:val="20"/>
            <w:szCs w:val="20"/>
            <w:u w:val="single"/>
          </w:rPr>
          <w:t>http://cks.univnt.ro/download/cks_2021_articles%252F3_public_law%252FCKS_2021_PUBLIC_LAW_002.pdf</w:t>
        </w:r>
      </w:hyperlink>
      <w:r w:rsidRPr="00820EEC">
        <w:rPr>
          <w:rFonts w:ascii="Times New Roman" w:hAnsi="Times New Roman" w:cs="Times New Roman"/>
          <w:sz w:val="20"/>
          <w:szCs w:val="20"/>
        </w:rPr>
        <w:t xml:space="preserve"> &gt; accessed 9 August 2021</w:t>
      </w:r>
    </w:p>
    <w:p w14:paraId="0000005F" w14:textId="77777777" w:rsidR="00B6588E" w:rsidRPr="00820EEC" w:rsidRDefault="00B6588E" w:rsidP="00820EEC">
      <w:pPr>
        <w:jc w:val="both"/>
        <w:rPr>
          <w:rFonts w:ascii="Times New Roman" w:hAnsi="Times New Roman" w:cs="Times New Roman"/>
          <w:sz w:val="20"/>
          <w:szCs w:val="20"/>
        </w:rPr>
      </w:pPr>
    </w:p>
  </w:footnote>
  <w:footnote w:id="4">
    <w:p w14:paraId="00000060"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Troitiño, David Ramiro, K</w:t>
      </w:r>
      <w:r w:rsidRPr="00820EEC">
        <w:rPr>
          <w:rFonts w:ascii="Times New Roman" w:hAnsi="Times New Roman" w:cs="Times New Roman"/>
          <w:sz w:val="20"/>
          <w:szCs w:val="20"/>
        </w:rPr>
        <w:t>aroline Färber, and Anni Boiro. ‘Mitterrand and the great European design—from the Cold War to the European Union.’ [2017] 7(2) Baltic Journal of European Studies &lt;</w:t>
      </w:r>
      <w:hyperlink r:id="rId4" w:history="1">
        <w:r w:rsidRPr="00820EEC">
          <w:rPr>
            <w:rFonts w:ascii="Times New Roman" w:hAnsi="Times New Roman" w:cs="Times New Roman"/>
            <w:color w:val="1155CC"/>
            <w:sz w:val="20"/>
            <w:szCs w:val="20"/>
            <w:u w:val="single"/>
          </w:rPr>
          <w:t>http://eprints.lse.ac.uk/87533/1/Boiro_Mitterrand%20and%20Great%20European%20Design_2018.pdf</w:t>
        </w:r>
      </w:hyperlink>
      <w:r w:rsidRPr="00820EEC">
        <w:rPr>
          <w:rFonts w:ascii="Times New Roman" w:hAnsi="Times New Roman" w:cs="Times New Roman"/>
          <w:sz w:val="20"/>
          <w:szCs w:val="20"/>
        </w:rPr>
        <w:t>&gt; accessed on 9th August 2021</w:t>
      </w:r>
    </w:p>
  </w:footnote>
  <w:footnote w:id="5">
    <w:p w14:paraId="00000061"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Willem Maas. ‘Citizenship</w:t>
      </w:r>
      <w:r w:rsidRPr="00820EEC">
        <w:rPr>
          <w:rFonts w:ascii="Times New Roman" w:hAnsi="Times New Roman" w:cs="Times New Roman"/>
          <w:sz w:val="20"/>
          <w:szCs w:val="20"/>
        </w:rPr>
        <w:t xml:space="preserve"> of the European Union.’ In Oxford Research Encyclopedia of Politics. 2020 &lt;</w:t>
      </w:r>
      <w:hyperlink r:id="rId5" w:history="1">
        <w:r w:rsidRPr="00820EEC">
          <w:rPr>
            <w:rFonts w:ascii="Times New Roman" w:hAnsi="Times New Roman" w:cs="Times New Roman"/>
            <w:color w:val="1155CC"/>
            <w:sz w:val="20"/>
            <w:szCs w:val="20"/>
            <w:u w:val="single"/>
          </w:rPr>
          <w:t>https://www.yorku.ca/maas/Maas2020e.pdf</w:t>
        </w:r>
      </w:hyperlink>
      <w:r w:rsidRPr="00820EEC">
        <w:rPr>
          <w:rFonts w:ascii="Times New Roman" w:hAnsi="Times New Roman" w:cs="Times New Roman"/>
          <w:sz w:val="20"/>
          <w:szCs w:val="20"/>
        </w:rPr>
        <w:t xml:space="preserve"> &gt; accessed on 9th August 2021</w:t>
      </w:r>
    </w:p>
  </w:footnote>
  <w:footnote w:id="6">
    <w:p w14:paraId="00000064"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Silvana Târlea, Stefanie Bailer, Hanno Degner and ot</w:t>
      </w:r>
      <w:r w:rsidRPr="00820EEC">
        <w:rPr>
          <w:rFonts w:ascii="Times New Roman" w:hAnsi="Times New Roman" w:cs="Times New Roman"/>
          <w:sz w:val="20"/>
          <w:szCs w:val="20"/>
        </w:rPr>
        <w:t>hers, ‘Explaining governmental preferences on economic and monetary union reform.’ [2019] 24-44. European Union Politics 20 &lt;</w:t>
      </w:r>
      <w:hyperlink r:id="rId6" w:history="1">
        <w:r w:rsidRPr="00820EEC">
          <w:rPr>
            <w:rFonts w:ascii="Times New Roman" w:hAnsi="Times New Roman" w:cs="Times New Roman"/>
            <w:color w:val="1155CC"/>
            <w:sz w:val="20"/>
            <w:szCs w:val="20"/>
            <w:u w:val="single"/>
          </w:rPr>
          <w:t>https://journals.sagepub.com/doi/pdf/10.1177/14651165</w:t>
        </w:r>
        <w:r w:rsidRPr="00820EEC">
          <w:rPr>
            <w:rFonts w:ascii="Times New Roman" w:hAnsi="Times New Roman" w:cs="Times New Roman"/>
            <w:color w:val="1155CC"/>
            <w:sz w:val="20"/>
            <w:szCs w:val="20"/>
            <w:u w:val="single"/>
          </w:rPr>
          <w:t>18814336</w:t>
        </w:r>
      </w:hyperlink>
      <w:r w:rsidRPr="00820EEC">
        <w:rPr>
          <w:rFonts w:ascii="Times New Roman" w:hAnsi="Times New Roman" w:cs="Times New Roman"/>
          <w:sz w:val="20"/>
          <w:szCs w:val="20"/>
        </w:rPr>
        <w:t xml:space="preserve"> &gt; accessed on 9th August 2021</w:t>
      </w:r>
    </w:p>
  </w:footnote>
  <w:footnote w:id="7">
    <w:p w14:paraId="00000062"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Jude Okafor, and Ernest Aniche. ‘Deconstructing neo-functionalism in the quest for a paradigm shift in African integration: Post-neo-functionalism and the prognostication of the proposed continental free trade area </w:t>
      </w:r>
      <w:r w:rsidRPr="00820EEC">
        <w:rPr>
          <w:rFonts w:ascii="Times New Roman" w:hAnsi="Times New Roman" w:cs="Times New Roman"/>
          <w:sz w:val="20"/>
          <w:szCs w:val="20"/>
        </w:rPr>
        <w:t>in Africa.’ [2017] 22 IOSR Journal Of Humanities And Social Science (IOSR-JHSS) &lt;</w:t>
      </w:r>
      <w:hyperlink r:id="rId7" w:history="1">
        <w:r w:rsidRPr="00820EEC">
          <w:rPr>
            <w:rFonts w:ascii="Times New Roman" w:hAnsi="Times New Roman" w:cs="Times New Roman"/>
            <w:color w:val="1155CC"/>
            <w:sz w:val="20"/>
            <w:szCs w:val="20"/>
            <w:u w:val="single"/>
          </w:rPr>
          <w:t>https://d1wqtxts1xzle7.cloudfront.net/51733938/Toochi_ACFTA_-_IOSR-J</w:t>
        </w:r>
        <w:r w:rsidRPr="00820EEC">
          <w:rPr>
            <w:rFonts w:ascii="Times New Roman" w:hAnsi="Times New Roman" w:cs="Times New Roman"/>
            <w:color w:val="1155CC"/>
            <w:sz w:val="20"/>
            <w:szCs w:val="20"/>
            <w:u w:val="single"/>
          </w:rPr>
          <w:t>HSS_-_J2202016072.pdf?1486742118=&amp;response-content-disposition=inline%3B+filename%3DDeconstructing_Neo_Functionalism_In_The.pdf&amp;Expires=1628504641&amp;Signature=IW9dMRK2WZsVjihkid2lDG7xu7-frbin9fXtuhkgl3vt8oCVsdtKn-t-CYD2vFFz9KsRf5nZsMDhNiUHgl4qAHAOB9hu29Rr2za</w:t>
        </w:r>
        <w:r w:rsidRPr="00820EEC">
          <w:rPr>
            <w:rFonts w:ascii="Times New Roman" w:hAnsi="Times New Roman" w:cs="Times New Roman"/>
            <w:color w:val="1155CC"/>
            <w:sz w:val="20"/>
            <w:szCs w:val="20"/>
            <w:u w:val="single"/>
          </w:rPr>
          <w:t>r77SWdZgof8NGVq8tjvQLlGJUBEDBM0MwR2fp6q-v6ZXRYk2x41ZCRkvY8yBaZK3P00ULBGEhSzlTdO5crA8uFwL6KSsJNVh8PTri3EexYeCT6du1EkfqdgbfH5n9FVKb8thGfCFX6IvyInnOrvtCcEwLWdjkiAA1z2rwIauEqI4RnZic-TwBbKWxVBe80QrDudWH-PV64payA5~yyF-8wICWHHDt2bPD9AKJ1yZlW43~9od-mw__&amp;Key-Pair-I</w:t>
        </w:r>
        <w:r w:rsidRPr="00820EEC">
          <w:rPr>
            <w:rFonts w:ascii="Times New Roman" w:hAnsi="Times New Roman" w:cs="Times New Roman"/>
            <w:color w:val="1155CC"/>
            <w:sz w:val="20"/>
            <w:szCs w:val="20"/>
            <w:u w:val="single"/>
          </w:rPr>
          <w:t>d=APKAJLOHF5GGSLRBV4ZA</w:t>
        </w:r>
      </w:hyperlink>
      <w:r w:rsidRPr="00820EEC">
        <w:rPr>
          <w:rFonts w:ascii="Times New Roman" w:hAnsi="Times New Roman" w:cs="Times New Roman"/>
          <w:sz w:val="20"/>
          <w:szCs w:val="20"/>
        </w:rPr>
        <w:t xml:space="preserve">  &gt; accessed on 9th August 2021</w:t>
      </w:r>
    </w:p>
    <w:p w14:paraId="00000063" w14:textId="77777777" w:rsidR="00B6588E" w:rsidRPr="00820EEC" w:rsidRDefault="00B6588E" w:rsidP="00820EEC">
      <w:pPr>
        <w:jc w:val="both"/>
        <w:rPr>
          <w:rFonts w:ascii="Times New Roman" w:hAnsi="Times New Roman" w:cs="Times New Roman"/>
          <w:sz w:val="20"/>
          <w:szCs w:val="20"/>
        </w:rPr>
      </w:pPr>
    </w:p>
  </w:footnote>
  <w:footnote w:id="8">
    <w:p w14:paraId="00000058" w14:textId="70BF3E09"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00964BB2" w:rsidRPr="00820EEC">
        <w:rPr>
          <w:rFonts w:ascii="Times New Roman" w:hAnsi="Times New Roman" w:cs="Times New Roman"/>
          <w:sz w:val="20"/>
          <w:szCs w:val="20"/>
        </w:rPr>
        <w:t>.</w:t>
      </w:r>
      <w:r w:rsidRPr="00820EEC">
        <w:rPr>
          <w:rFonts w:ascii="Times New Roman" w:hAnsi="Times New Roman" w:cs="Times New Roman"/>
          <w:sz w:val="20"/>
          <w:szCs w:val="20"/>
        </w:rPr>
        <w:t>The European Court of Justice and the Policy Process. oapen.org,2021) &lt;</w:t>
      </w:r>
      <w:hyperlink r:id="rId8" w:history="1">
        <w:r w:rsidRPr="00820EEC">
          <w:rPr>
            <w:rFonts w:ascii="Times New Roman" w:hAnsi="Times New Roman" w:cs="Times New Roman"/>
            <w:color w:val="1155CC"/>
            <w:sz w:val="20"/>
            <w:szCs w:val="20"/>
            <w:u w:val="single"/>
          </w:rPr>
          <w:t>https://books.google.com/books?hl=en&amp;lr=&amp;id=vY5HDwAAQBAJ&amp;oi=fnd&amp;pg=PP1&amp;dq=The+Court+of+Justice+of+the+European+Union%E2%80%99s+development+of+fundamental+rights+protection+was,</w:t>
        </w:r>
        <w:r w:rsidRPr="00820EEC">
          <w:rPr>
            <w:rFonts w:ascii="Times New Roman" w:hAnsi="Times New Roman" w:cs="Times New Roman"/>
            <w:color w:val="1155CC"/>
            <w:sz w:val="20"/>
            <w:szCs w:val="20"/>
            <w:u w:val="single"/>
          </w:rPr>
          <w:t>+for+the+most+part,+a+way+to+avoid+Member+States+questioning+the+supremacy+and+authority+of+EU+law&amp;ots=SFGtlHPzXu&amp;sig=AnmqzXdp7M27r2X0VDkUj78xF6o</w:t>
        </w:r>
      </w:hyperlink>
      <w:r w:rsidRPr="00820EEC">
        <w:rPr>
          <w:rFonts w:ascii="Times New Roman" w:hAnsi="Times New Roman" w:cs="Times New Roman"/>
          <w:sz w:val="20"/>
          <w:szCs w:val="20"/>
        </w:rPr>
        <w:t>&gt; accessed 9 August 2021</w:t>
      </w:r>
    </w:p>
  </w:footnote>
  <w:footnote w:id="9">
    <w:p w14:paraId="0000005A"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.Fichera M, and Pollicino O, 'The Dialectics Between Constitutional Identity And Comm</w:t>
      </w:r>
      <w:r w:rsidRPr="00820EEC">
        <w:rPr>
          <w:rFonts w:ascii="Times New Roman" w:hAnsi="Times New Roman" w:cs="Times New Roman"/>
          <w:sz w:val="20"/>
          <w:szCs w:val="20"/>
        </w:rPr>
        <w:t>on Constitutional Traditions: Which Language For Cooperative Constitutionalism In Europe?' (Cambridge.org 2021).</w:t>
      </w:r>
    </w:p>
    <w:p w14:paraId="0000005B"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rPr>
        <w:t>&lt;</w:t>
      </w:r>
      <w:hyperlink r:id="rId9" w:history="1">
        <w:r w:rsidRPr="00820EEC">
          <w:rPr>
            <w:rFonts w:ascii="Times New Roman" w:hAnsi="Times New Roman" w:cs="Times New Roman"/>
            <w:color w:val="1155CC"/>
            <w:sz w:val="20"/>
            <w:szCs w:val="20"/>
            <w:u w:val="single"/>
          </w:rPr>
          <w:t>https://www.cambridge.org/core/journals/german-law-journal/article/dialectics-between-constitutional-identity-and-common-constitutional-traditi</w:t>
        </w:r>
        <w:r w:rsidRPr="00820EEC">
          <w:rPr>
            <w:rFonts w:ascii="Times New Roman" w:hAnsi="Times New Roman" w:cs="Times New Roman"/>
            <w:color w:val="1155CC"/>
            <w:sz w:val="20"/>
            <w:szCs w:val="20"/>
            <w:u w:val="single"/>
          </w:rPr>
          <w:t>ons-which-language-for-cooperative-constitutionalism-in-europe/E8D1FE181EB6A389ED739155A8F3BB80</w:t>
        </w:r>
      </w:hyperlink>
      <w:r w:rsidRPr="00820EEC">
        <w:rPr>
          <w:rFonts w:ascii="Times New Roman" w:hAnsi="Times New Roman" w:cs="Times New Roman"/>
          <w:sz w:val="20"/>
          <w:szCs w:val="20"/>
        </w:rPr>
        <w:t>&gt;accessed 9 August 2021</w:t>
      </w:r>
    </w:p>
  </w:footnote>
  <w:footnote w:id="10">
    <w:p w14:paraId="00000067"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Case 43/75, Defrenne v. Sabena, [1976] ECR. 455</w:t>
      </w:r>
    </w:p>
  </w:footnote>
  <w:footnote w:id="11">
    <w:p w14:paraId="00000065" w14:textId="77777777" w:rsidR="00B6588E" w:rsidRPr="00820EEC" w:rsidRDefault="007F5FD7" w:rsidP="00820EEC">
      <w:pPr>
        <w:jc w:val="both"/>
        <w:rPr>
          <w:rFonts w:ascii="Times New Roman" w:eastAsia="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w:t>
      </w:r>
      <w:r w:rsidRPr="00820EEC">
        <w:rPr>
          <w:rFonts w:ascii="Times New Roman" w:eastAsia="Times New Roman" w:hAnsi="Times New Roman" w:cs="Times New Roman"/>
          <w:sz w:val="20"/>
          <w:szCs w:val="20"/>
        </w:rPr>
        <w:t>Case 36/75 Rutili v Minister of the Interior [1976] ECR 1219</w:t>
      </w:r>
    </w:p>
    <w:p w14:paraId="00000066" w14:textId="77777777" w:rsidR="00B6588E" w:rsidRPr="00820EEC" w:rsidRDefault="00B6588E" w:rsidP="00820EEC">
      <w:pPr>
        <w:jc w:val="both"/>
        <w:rPr>
          <w:rFonts w:ascii="Times New Roman" w:hAnsi="Times New Roman" w:cs="Times New Roman"/>
          <w:sz w:val="20"/>
          <w:szCs w:val="20"/>
        </w:rPr>
      </w:pPr>
    </w:p>
  </w:footnote>
  <w:footnote w:id="12">
    <w:p w14:paraId="0000004C"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Steven A. Conrad and others, 'The Extracorporeal Life Support Organization Maastricht Treaty For Nomenclature In Extracorporeal Life Support' (Atsjournals.org, 2021) &lt;</w:t>
      </w:r>
      <w:hyperlink r:id="rId10" w:history="1">
        <w:r w:rsidRPr="00820EEC">
          <w:rPr>
            <w:rFonts w:ascii="Times New Roman" w:hAnsi="Times New Roman" w:cs="Times New Roman"/>
            <w:color w:val="1155CC"/>
            <w:sz w:val="20"/>
            <w:szCs w:val="20"/>
            <w:u w:val="single"/>
          </w:rPr>
          <w:t>https://w</w:t>
        </w:r>
        <w:r w:rsidRPr="00820EEC">
          <w:rPr>
            <w:rFonts w:ascii="Times New Roman" w:hAnsi="Times New Roman" w:cs="Times New Roman"/>
            <w:color w:val="1155CC"/>
            <w:sz w:val="20"/>
            <w:szCs w:val="20"/>
            <w:u w:val="single"/>
          </w:rPr>
          <w:t>ww.atsjournals.org/doi/pdf/10.1164/rccm.201710-2130CP</w:t>
        </w:r>
      </w:hyperlink>
      <w:r w:rsidRPr="00820EEC">
        <w:rPr>
          <w:rFonts w:ascii="Times New Roman" w:hAnsi="Times New Roman" w:cs="Times New Roman"/>
          <w:sz w:val="20"/>
          <w:szCs w:val="20"/>
        </w:rPr>
        <w:t xml:space="preserve"> &gt; accessed 9 August 2021.</w:t>
      </w:r>
    </w:p>
  </w:footnote>
  <w:footnote w:id="13">
    <w:p w14:paraId="0000004D"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Şule ARSLAN, 'Directive 2004/38/EC On The Right Of Citizens Of The Union And Their Family Members To Move And Reside Freely Within The Territory Of The Member States (2021) &lt;</w:t>
      </w:r>
      <w:hyperlink r:id="rId11" w:anchor="page=1105" w:history="1">
        <w:r w:rsidRPr="00820EEC">
          <w:rPr>
            <w:rFonts w:ascii="Times New Roman" w:hAnsi="Times New Roman" w:cs="Times New Roman"/>
            <w:color w:val="1155CC"/>
            <w:sz w:val="20"/>
            <w:szCs w:val="20"/>
            <w:u w:val="single"/>
          </w:rPr>
          <w:t>https://www.researchgate.net/profile/Mine-Degirmencioglu-2/publication/342961108_Ogrenen_Orgut_Olma_Yolunda_Yerel_Yonetimler_Kavramsal_Bir_Cerceve/links/5f1344ff299bf1e548c14d62/Oegrenen-Oerguet-Olma-Yolunda-Yerel-Yoenetimler-Kav</w:t>
        </w:r>
        <w:r w:rsidRPr="00820EEC">
          <w:rPr>
            <w:rFonts w:ascii="Times New Roman" w:hAnsi="Times New Roman" w:cs="Times New Roman"/>
            <w:color w:val="1155CC"/>
            <w:sz w:val="20"/>
            <w:szCs w:val="20"/>
            <w:u w:val="single"/>
          </w:rPr>
          <w:t>ramsal-Bir-Cerceve.pdf#page=1105</w:t>
        </w:r>
      </w:hyperlink>
      <w:r w:rsidRPr="00820EEC">
        <w:rPr>
          <w:rFonts w:ascii="Times New Roman" w:hAnsi="Times New Roman" w:cs="Times New Roman"/>
          <w:sz w:val="20"/>
          <w:szCs w:val="20"/>
        </w:rPr>
        <w:t xml:space="preserve"> &gt; accessed 9 August 2021</w:t>
      </w:r>
    </w:p>
  </w:footnote>
  <w:footnote w:id="14">
    <w:p w14:paraId="0000004E"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Anna Södersten and others, 'The Lisbon Treaty 10 Years On: Success Or Failure?' (Sieps.se, 2021) &lt;</w:t>
      </w:r>
      <w:hyperlink r:id="rId12" w:history="1">
        <w:r w:rsidRPr="00820EEC">
          <w:rPr>
            <w:rFonts w:ascii="Times New Roman" w:hAnsi="Times New Roman" w:cs="Times New Roman"/>
            <w:color w:val="1155CC"/>
            <w:sz w:val="20"/>
            <w:szCs w:val="20"/>
            <w:u w:val="single"/>
          </w:rPr>
          <w:t>https://www.sieps.se/globalassets/publikationer/2019/sieps-antologi-2019_2op-eng-web.pdf</w:t>
        </w:r>
      </w:hyperlink>
      <w:r w:rsidRPr="00820EEC">
        <w:rPr>
          <w:rFonts w:ascii="Times New Roman" w:hAnsi="Times New Roman" w:cs="Times New Roman"/>
          <w:sz w:val="20"/>
          <w:szCs w:val="20"/>
        </w:rPr>
        <w:t xml:space="preserve"> &gt; accessed 9 August 2021.</w:t>
      </w:r>
    </w:p>
  </w:footnote>
  <w:footnote w:id="15">
    <w:p w14:paraId="0000004F"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w:t>
      </w:r>
      <w:r w:rsidRPr="00820EEC">
        <w:rPr>
          <w:rFonts w:ascii="Times New Roman" w:eastAsia="Times New Roman" w:hAnsi="Times New Roman" w:cs="Times New Roman"/>
          <w:color w:val="0E101A"/>
          <w:sz w:val="20"/>
          <w:szCs w:val="20"/>
        </w:rPr>
        <w:t>Consolidated Version of The Treaty Of European Union [2012] OJ C326/13</w:t>
      </w:r>
    </w:p>
  </w:footnote>
  <w:footnote w:id="16">
    <w:p w14:paraId="00000050"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ibid</w:t>
      </w:r>
    </w:p>
  </w:footnote>
  <w:footnote w:id="17">
    <w:p w14:paraId="00000051" w14:textId="77777777" w:rsidR="00B6588E" w:rsidRPr="00820EEC" w:rsidRDefault="007F5FD7" w:rsidP="00820EEC">
      <w:pPr>
        <w:jc w:val="both"/>
        <w:rPr>
          <w:rFonts w:ascii="Times New Roman" w:eastAsia="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eastAsia="Times New Roman" w:hAnsi="Times New Roman" w:cs="Times New Roman"/>
          <w:sz w:val="20"/>
          <w:szCs w:val="20"/>
        </w:rPr>
        <w:t xml:space="preserve"> Charter of Fundamental Rights of the European Union </w:t>
      </w:r>
      <w:r w:rsidRPr="00820EEC">
        <w:rPr>
          <w:rFonts w:ascii="Times New Roman" w:eastAsia="Times New Roman" w:hAnsi="Times New Roman" w:cs="Times New Roman"/>
          <w:sz w:val="20"/>
          <w:szCs w:val="20"/>
        </w:rPr>
        <w:t>[2000] C 364/01</w:t>
      </w:r>
    </w:p>
  </w:footnote>
  <w:footnote w:id="18">
    <w:p w14:paraId="00000052" w14:textId="384C17C6"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w:t>
      </w:r>
      <w:hyperlink r:id="rId13" w:history="1">
        <w:r w:rsidRPr="00820EEC">
          <w:rPr>
            <w:rFonts w:ascii="Times New Roman" w:hAnsi="Times New Roman" w:cs="Times New Roman"/>
            <w:sz w:val="20"/>
            <w:szCs w:val="20"/>
          </w:rPr>
          <w:t>C-673/16</w:t>
        </w:r>
      </w:hyperlink>
      <w:r w:rsidR="00820EEC">
        <w:rPr>
          <w:rFonts w:ascii="Times New Roman" w:hAnsi="Times New Roman" w:cs="Times New Roman"/>
          <w:sz w:val="20"/>
          <w:szCs w:val="20"/>
        </w:rPr>
        <w:t xml:space="preserve"> </w:t>
      </w:r>
      <w:r w:rsidRPr="00820EEC">
        <w:rPr>
          <w:rFonts w:ascii="Times New Roman" w:hAnsi="Times New Roman" w:cs="Times New Roman"/>
          <w:sz w:val="20"/>
          <w:szCs w:val="20"/>
        </w:rPr>
        <w:t>Relu Adrian Coman and Others v Inspectoratul General pentru Imigrări and Ministerul Afacerilor Interne. [2018] ECLI:EU:C:2018:385</w:t>
      </w:r>
    </w:p>
  </w:footnote>
  <w:footnote w:id="19">
    <w:p w14:paraId="00000054" w14:textId="77777777" w:rsidR="00B6588E" w:rsidRPr="00820EEC" w:rsidRDefault="007F5FD7" w:rsidP="00820EEC">
      <w:pPr>
        <w:jc w:val="both"/>
        <w:rPr>
          <w:rFonts w:ascii="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Anita Heindlmaier and Michael Blauberger, 'Enter At Your Own Risk: Free Movement Of EU Citizens In Practice' (Tandfonline.com, 2021) &lt;https://www.tandfonline.com/doi/pdf/10.1080/01402382.2017.1294383&gt; accessed 9 August 2021.</w:t>
      </w:r>
    </w:p>
  </w:footnote>
  <w:footnote w:id="20">
    <w:p w14:paraId="00000053" w14:textId="77777777" w:rsidR="00B6588E" w:rsidRPr="00820EEC" w:rsidRDefault="007F5FD7" w:rsidP="00820EEC">
      <w:pPr>
        <w:jc w:val="both"/>
        <w:rPr>
          <w:rFonts w:ascii="Times New Roman" w:eastAsia="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w:t>
      </w:r>
      <w:r w:rsidRPr="00820EEC">
        <w:rPr>
          <w:rFonts w:ascii="Times New Roman" w:eastAsia="Times New Roman" w:hAnsi="Times New Roman" w:cs="Times New Roman"/>
          <w:sz w:val="20"/>
          <w:szCs w:val="20"/>
        </w:rPr>
        <w:t>Case C-85/96 Martinez Sala v</w:t>
      </w:r>
      <w:r w:rsidRPr="00820EEC">
        <w:rPr>
          <w:rFonts w:ascii="Times New Roman" w:eastAsia="Times New Roman" w:hAnsi="Times New Roman" w:cs="Times New Roman"/>
          <w:sz w:val="20"/>
          <w:szCs w:val="20"/>
        </w:rPr>
        <w:t xml:space="preserve"> Freistaat Bayern [1998] ECR I-2691</w:t>
      </w:r>
    </w:p>
  </w:footnote>
  <w:footnote w:id="21">
    <w:p w14:paraId="00000055" w14:textId="77777777" w:rsidR="00B6588E" w:rsidRPr="00820EEC" w:rsidRDefault="007F5FD7" w:rsidP="00820EEC">
      <w:pPr>
        <w:jc w:val="both"/>
        <w:rPr>
          <w:rFonts w:ascii="Times New Roman" w:eastAsia="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w:t>
      </w:r>
      <w:r w:rsidRPr="00820EEC">
        <w:rPr>
          <w:rFonts w:ascii="Times New Roman" w:eastAsia="Times New Roman" w:hAnsi="Times New Roman" w:cs="Times New Roman"/>
          <w:sz w:val="20"/>
          <w:szCs w:val="20"/>
        </w:rPr>
        <w:t>Case C-184/99 Grzelczyk v Centre Public d'Aide Sociale d'Ottignies-Louvain-la-Neuve [2001] ECR I-6193</w:t>
      </w:r>
    </w:p>
  </w:footnote>
  <w:footnote w:id="22">
    <w:p w14:paraId="00000059" w14:textId="77777777" w:rsidR="00B6588E" w:rsidRPr="00820EEC" w:rsidRDefault="007F5FD7" w:rsidP="00820EEC">
      <w:pPr>
        <w:jc w:val="both"/>
        <w:rPr>
          <w:rFonts w:ascii="Times New Roman" w:eastAsia="Times New Roman" w:hAnsi="Times New Roman" w:cs="Times New Roman"/>
          <w:sz w:val="20"/>
          <w:szCs w:val="20"/>
        </w:rPr>
      </w:pPr>
      <w:r w:rsidRPr="00820EEC">
        <w:rPr>
          <w:rFonts w:ascii="Times New Roman" w:hAnsi="Times New Roman" w:cs="Times New Roman"/>
          <w:sz w:val="20"/>
          <w:szCs w:val="20"/>
          <w:vertAlign w:val="superscript"/>
        </w:rPr>
        <w:footnoteRef/>
      </w:r>
      <w:r w:rsidRPr="00820EEC">
        <w:rPr>
          <w:rFonts w:ascii="Times New Roman" w:hAnsi="Times New Roman" w:cs="Times New Roman"/>
          <w:sz w:val="20"/>
          <w:szCs w:val="20"/>
        </w:rPr>
        <w:t xml:space="preserve"> </w:t>
      </w:r>
      <w:r w:rsidRPr="00820EEC">
        <w:rPr>
          <w:rFonts w:ascii="Times New Roman" w:eastAsia="Times New Roman" w:hAnsi="Times New Roman" w:cs="Times New Roman"/>
          <w:sz w:val="20"/>
          <w:szCs w:val="20"/>
        </w:rPr>
        <w:t>Case C-138/02, Brian Francis Collins v Secretary of State for Work and Pensions [2004] ECR I-2703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D47EE2"/>
    <w:multiLevelType w:val="multilevel"/>
    <w:tmpl w:val="EA7633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7I0N7W0tDA2MbMwNjdR0lEKTi0uzszPAykwrAUA75xBxCwAAAA="/>
  </w:docVars>
  <w:rsids>
    <w:rsidRoot w:val="00B6588E"/>
    <w:rsid w:val="00180EAA"/>
    <w:rsid w:val="004E3AC3"/>
    <w:rsid w:val="0052328B"/>
    <w:rsid w:val="0070215B"/>
    <w:rsid w:val="007F5FD7"/>
    <w:rsid w:val="00820EEC"/>
    <w:rsid w:val="00964BB2"/>
    <w:rsid w:val="00B6588E"/>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3E8DC1"/>
  <w15:docId w15:val="{72663B4F-4F15-4155-B2C1-143C46165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hi-I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lang w:val="en-GB"/>
    </w:rPr>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TOCHeading">
    <w:name w:val="TOC Heading"/>
    <w:basedOn w:val="Heading1"/>
    <w:next w:val="Normal"/>
    <w:uiPriority w:val="39"/>
    <w:unhideWhenUsed/>
    <w:qFormat/>
    <w:rsid w:val="00964BB2"/>
    <w:pPr>
      <w:spacing w:before="480" w:after="0" w:line="360" w:lineRule="auto"/>
      <w:jc w:val="both"/>
      <w:outlineLvl w:val="9"/>
    </w:pPr>
    <w:rPr>
      <w:rFonts w:ascii="Times New Roman" w:eastAsiaTheme="majorEastAsia" w:hAnsi="Times New Roman" w:cstheme="majorBidi"/>
      <w:b/>
      <w:bCs/>
      <w:sz w:val="28"/>
      <w:szCs w:val="28"/>
      <w:lang w:eastAsia="ja-JP" w:bidi="ar-SA"/>
    </w:rPr>
  </w:style>
  <w:style w:type="character" w:styleId="Hyperlink">
    <w:name w:val="Hyperlink"/>
    <w:basedOn w:val="DefaultParagraphFont"/>
    <w:uiPriority w:val="99"/>
    <w:unhideWhenUsed/>
    <w:rsid w:val="00964BB2"/>
    <w:rPr>
      <w:color w:val="0000FF"/>
      <w:u w:val="single"/>
    </w:rPr>
  </w:style>
  <w:style w:type="paragraph" w:styleId="TOC1">
    <w:name w:val="toc 1"/>
    <w:basedOn w:val="Normal"/>
    <w:next w:val="Normal"/>
    <w:autoRedefine/>
    <w:uiPriority w:val="39"/>
    <w:unhideWhenUsed/>
    <w:rsid w:val="00964BB2"/>
    <w:pPr>
      <w:spacing w:after="100"/>
    </w:pPr>
    <w:rPr>
      <w:lang w:bidi="ar-SA"/>
    </w:rPr>
  </w:style>
  <w:style w:type="paragraph" w:styleId="BalloonText">
    <w:name w:val="Balloon Text"/>
    <w:basedOn w:val="Normal"/>
    <w:link w:val="BalloonTextChar"/>
    <w:uiPriority w:val="99"/>
    <w:semiHidden/>
    <w:unhideWhenUsed/>
    <w:rsid w:val="00964BB2"/>
    <w:pPr>
      <w:spacing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964BB2"/>
    <w:rPr>
      <w:rFonts w:ascii="Tahoma" w:hAnsi="Tahoma" w:cs="Mangal"/>
      <w:sz w:val="16"/>
      <w:szCs w:val="14"/>
    </w:rPr>
  </w:style>
  <w:style w:type="paragraph" w:styleId="Header">
    <w:name w:val="header"/>
    <w:basedOn w:val="Normal"/>
    <w:link w:val="HeaderChar"/>
    <w:uiPriority w:val="99"/>
    <w:unhideWhenUsed/>
    <w:rsid w:val="00820EEC"/>
    <w:pPr>
      <w:tabs>
        <w:tab w:val="center" w:pos="4680"/>
        <w:tab w:val="right" w:pos="9360"/>
      </w:tabs>
      <w:spacing w:line="240" w:lineRule="auto"/>
    </w:pPr>
    <w:rPr>
      <w:rFonts w:cs="Mangal"/>
      <w:szCs w:val="20"/>
    </w:rPr>
  </w:style>
  <w:style w:type="character" w:customStyle="1" w:styleId="HeaderChar">
    <w:name w:val="Header Char"/>
    <w:basedOn w:val="DefaultParagraphFont"/>
    <w:link w:val="Header"/>
    <w:uiPriority w:val="99"/>
    <w:rsid w:val="00820EEC"/>
    <w:rPr>
      <w:rFonts w:cs="Mangal"/>
      <w:szCs w:val="20"/>
    </w:rPr>
  </w:style>
  <w:style w:type="paragraph" w:styleId="Footer">
    <w:name w:val="footer"/>
    <w:basedOn w:val="Normal"/>
    <w:link w:val="FooterChar"/>
    <w:uiPriority w:val="99"/>
    <w:unhideWhenUsed/>
    <w:rsid w:val="00820EEC"/>
    <w:pPr>
      <w:tabs>
        <w:tab w:val="center" w:pos="4680"/>
        <w:tab w:val="right" w:pos="9360"/>
      </w:tabs>
      <w:spacing w:line="240" w:lineRule="auto"/>
    </w:pPr>
    <w:rPr>
      <w:rFonts w:cs="Mangal"/>
      <w:szCs w:val="20"/>
    </w:rPr>
  </w:style>
  <w:style w:type="character" w:customStyle="1" w:styleId="FooterChar">
    <w:name w:val="Footer Char"/>
    <w:basedOn w:val="DefaultParagraphFont"/>
    <w:link w:val="Footer"/>
    <w:uiPriority w:val="99"/>
    <w:rsid w:val="00820EEC"/>
    <w:rPr>
      <w:rFonts w:cs="Mang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books.google.com/books?hl=en&amp;lr=&amp;id=vY5HDwAAQBAJ&amp;oi=fnd&amp;pg=PP1&amp;dq=The+Court+of+Justice+of+the+European+Union%E2%80%99s+development+of+fundamental+rights+protection+was,+for+the+most+part,+a+way+to+avoid+Member+States+questioning+the+supremacy+and+authority+of+EU+law&amp;ots=SFGtlHPzXu&amp;sig=AnmqzXdp7M27r2X0VDkUj78xF6o" TargetMode="External"/><Relationship Id="rId13" Type="http://schemas.openxmlformats.org/officeDocument/2006/relationships/hyperlink" Target="https://curia.europa.eu/juris/document/document.jsf?text=&amp;docid=202542&amp;doclang=EN" TargetMode="External"/><Relationship Id="rId3" Type="http://schemas.openxmlformats.org/officeDocument/2006/relationships/hyperlink" Target="http://cks.univnt.ro/download/cks_2021_articles%252F3_public_law%252FCKS_2021_PUBLIC_LAW_002.pdf" TargetMode="External"/><Relationship Id="rId7" Type="http://schemas.openxmlformats.org/officeDocument/2006/relationships/hyperlink" Target="https://d1wqtxts1xzle7.cloudfront.net/51733938/Toochi_ACFTA_-_IOSR-JHSS_-_J2202016072.pdf?1486742118=&amp;response-content-disposition=inline%3B+filename%3DDeconstructing_Neo_Functionalism_In_The.pdf&amp;Expires=1628504641&amp;Signature=IW9dMRK2WZsVjihkid2lDG7xu7-frbin9fXtuhkgl3vt8oCVsdtKn-t-CYD2vFFz9KsRf5nZsMDhNiUHgl4qAHAOB9hu29Rr2zar77SWdZgof8NGVq8tjvQLlGJUBEDBM0MwR2fp6q-v6ZXRYk2x41ZCRkvY8yBaZK3P00ULBGEhSzlTdO5crA8uFwL6KSsJNVh8PTri3EexYeCT6du1EkfqdgbfH5n9FVKb8thGfCFX6IvyInnOrvtCcEwLWdjkiAA1z2rwIauEqI4RnZic-TwBbKWxVBe80QrDudWH-PV64payA5~yyF-8wICWHHDt2bPD9AKJ1yZlW43~9od-mw__&amp;Key-Pair-Id=APKAJLOHF5GGSLRBV4ZA" TargetMode="External"/><Relationship Id="rId12" Type="http://schemas.openxmlformats.org/officeDocument/2006/relationships/hyperlink" Target="https://www.sieps.se/globalassets/publikationer/2019/sieps-antologi-2019_2op-eng-web.pdf" TargetMode="External"/><Relationship Id="rId2" Type="http://schemas.openxmlformats.org/officeDocument/2006/relationships/hyperlink" Target="https://mest.meste.org/MEST_Najava/XI_Vallecillo.pdf" TargetMode="External"/><Relationship Id="rId1" Type="http://schemas.openxmlformats.org/officeDocument/2006/relationships/hyperlink" Target="https://www.researchgate.net/profile/Wolfgang-Seibel/publication/318590970_The_European_Union_Ukraine_and_The_Unstable_East/links/5c78e669299bf1268d2dce38/The-European-Union-Ukraine-and-The-Unstable-East.pdf" TargetMode="External"/><Relationship Id="rId6" Type="http://schemas.openxmlformats.org/officeDocument/2006/relationships/hyperlink" Target="https://journals.sagepub.com/doi/pdf/10.1177/1465116518814336" TargetMode="External"/><Relationship Id="rId11" Type="http://schemas.openxmlformats.org/officeDocument/2006/relationships/hyperlink" Target="https://www.researchgate.net/profile/Mine-Degirmencioglu-2/publication/342961108_Ogrenen_Orgut_Olma_Yolunda_Yerel_Yonetimler_Kavramsal_Bir_Cerceve/links/5f1344ff299bf1e548c14d62/Oegrenen-Oerguet-Olma-Yolunda-Yerel-Yoenetimler-Kavramsal-Bir-Cerceve.pdf" TargetMode="External"/><Relationship Id="rId5" Type="http://schemas.openxmlformats.org/officeDocument/2006/relationships/hyperlink" Target="https://www.yorku.ca/maas/Maas2020e.pdf" TargetMode="External"/><Relationship Id="rId10" Type="http://schemas.openxmlformats.org/officeDocument/2006/relationships/hyperlink" Target="https://www.atsjournals.org/doi/pdf/10.1164/rccm.201710-2130CP" TargetMode="External"/><Relationship Id="rId4" Type="http://schemas.openxmlformats.org/officeDocument/2006/relationships/hyperlink" Target="http://eprints.lse.ac.uk/87533/1/Boiro_Mitterrand%20and%20Great%20European%20Design_2018.pdf" TargetMode="External"/><Relationship Id="rId9" Type="http://schemas.openxmlformats.org/officeDocument/2006/relationships/hyperlink" Target="https://www.cambridge.org/core/journals/german-law-journal/article/dialectics-between-constitutional-identity-and-common-constitutional-traditions-which-language-for-cooperative-constitutionalism-in-europe/E8D1FE181EB6A389ED739155A8F3BB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FE6B11-2468-45B6-A891-9A3AB141F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11</Pages>
  <Words>2910</Words>
  <Characters>16587</Characters>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2021-08-09T09:44:00Z</dcterms:created>
  <dcterms:modified xsi:type="dcterms:W3CDTF">2021-08-09T10:19:00Z</dcterms:modified>
</cp:coreProperties>
</file>